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FB71A7">
        <w:rPr>
          <w:rFonts w:ascii="Tahoma" w:hAnsi="Tahoma" w:cs="Tahoma"/>
          <w:sz w:val="20"/>
          <w:lang w:val="en-US"/>
        </w:rPr>
        <w:t>5</w:t>
      </w:r>
      <w:r w:rsidR="00D57FE9">
        <w:rPr>
          <w:rFonts w:ascii="Tahoma" w:hAnsi="Tahoma" w:cs="Tahoma"/>
          <w:sz w:val="20"/>
          <w:lang w:val="en-US"/>
        </w:rPr>
        <w:t>.</w:t>
      </w:r>
      <w:r w:rsidR="006862BE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9D2BDE" w:rsidRDefault="00FB71A7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razpisno dokumentacijo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>
        <w:rPr>
          <w:rFonts w:ascii="Tahoma" w:hAnsi="Tahoma" w:cs="Tahoma"/>
          <w:bCs/>
          <w:sz w:val="20"/>
        </w:rPr>
        <w:t>JHL-10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Vzdrževanje in popravila službenih vozil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6862BE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8901E9" w:rsidRDefault="006862BE" w:rsidP="006862BE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00B050"/>
          <w:sz w:val="20"/>
        </w:rPr>
        <w:t>SPREMEMBA RAZPISNE DOKUMENTACIJE</w:t>
      </w:r>
      <w:r w:rsidR="003C747C" w:rsidRPr="00FE5AF8">
        <w:rPr>
          <w:rFonts w:ascii="Tahoma" w:hAnsi="Tahoma" w:cs="Tahoma"/>
          <w:color w:val="00B050"/>
          <w:sz w:val="20"/>
        </w:rPr>
        <w:t xml:space="preserve">: </w:t>
      </w:r>
    </w:p>
    <w:p w:rsidR="006862BE" w:rsidRDefault="006862BE" w:rsidP="006862BE">
      <w:pPr>
        <w:keepNext/>
        <w:rPr>
          <w:color w:val="1F497D"/>
        </w:rPr>
      </w:pPr>
    </w:p>
    <w:p w:rsidR="00FB71A7" w:rsidRPr="00FB71A7" w:rsidRDefault="00FB71A7" w:rsidP="00FB71A7">
      <w:pPr>
        <w:keepNext/>
        <w:spacing w:after="120"/>
        <w:jc w:val="both"/>
        <w:rPr>
          <w:rFonts w:ascii="Tahoma" w:hAnsi="Tahoma" w:cs="Tahoma"/>
          <w:bCs/>
          <w:sz w:val="20"/>
        </w:rPr>
      </w:pPr>
      <w:r w:rsidRPr="00FB71A7">
        <w:rPr>
          <w:rFonts w:ascii="Tahoma" w:hAnsi="Tahoma" w:cs="Tahoma"/>
          <w:bCs/>
          <w:sz w:val="20"/>
        </w:rPr>
        <w:t xml:space="preserve">Naročnik spreminja razpisno dokumentacijo na </w:t>
      </w:r>
      <w:r>
        <w:rPr>
          <w:rFonts w:ascii="Tahoma" w:hAnsi="Tahoma" w:cs="Tahoma"/>
          <w:bCs/>
          <w:sz w:val="20"/>
        </w:rPr>
        <w:t>v naslednjih delih:</w:t>
      </w:r>
    </w:p>
    <w:p w:rsidR="00FB71A7" w:rsidRDefault="00FB71A7" w:rsidP="00FB71A7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spreminja 5. člen okvirnega sporazuma na način, da se v prvem stavku prvega odstavka </w:t>
      </w:r>
      <w:r w:rsidRPr="00FB71A7">
        <w:rPr>
          <w:rFonts w:ascii="Tahoma" w:hAnsi="Tahoma" w:cs="Tahoma"/>
          <w:bCs/>
          <w:sz w:val="20"/>
        </w:rPr>
        <w:t xml:space="preserve">spremeni </w:t>
      </w:r>
      <w:r w:rsidRPr="00FB71A7">
        <w:rPr>
          <w:rFonts w:ascii="Tahoma" w:hAnsi="Tahoma" w:cs="Tahoma"/>
          <w:bCs/>
          <w:sz w:val="20"/>
        </w:rPr>
        <w:t xml:space="preserve">besedilo v oklepaju  </w:t>
      </w:r>
      <w:r w:rsidRPr="00FB71A7">
        <w:rPr>
          <w:rFonts w:ascii="Tahoma" w:hAnsi="Tahoma" w:cs="Tahoma"/>
          <w:bCs/>
          <w:sz w:val="20"/>
        </w:rPr>
        <w:t>tako</w:t>
      </w:r>
      <w:r w:rsidRPr="00FB71A7">
        <w:rPr>
          <w:rFonts w:ascii="Tahoma" w:hAnsi="Tahoma" w:cs="Tahoma"/>
          <w:bCs/>
          <w:sz w:val="20"/>
        </w:rPr>
        <w:t>, da se doda besedilo »ali rezervni deli«.</w:t>
      </w:r>
      <w:r w:rsidRPr="00FB71A7">
        <w:rPr>
          <w:rFonts w:ascii="Tahoma" w:hAnsi="Tahoma" w:cs="Tahoma"/>
          <w:bCs/>
          <w:sz w:val="20"/>
        </w:rPr>
        <w:t xml:space="preserve"> Besedilo v oklepaju se po spremembi glasi</w:t>
      </w:r>
      <w:r>
        <w:rPr>
          <w:rFonts w:ascii="Tahoma" w:hAnsi="Tahoma" w:cs="Tahoma"/>
          <w:bCs/>
          <w:sz w:val="20"/>
        </w:rPr>
        <w:t>:</w:t>
      </w:r>
      <w:r w:rsidRPr="00FB71A7">
        <w:rPr>
          <w:rFonts w:ascii="Tahoma" w:hAnsi="Tahoma" w:cs="Tahoma"/>
          <w:bCs/>
          <w:sz w:val="20"/>
        </w:rPr>
        <w:t xml:space="preserve"> </w:t>
      </w:r>
      <w:r w:rsidRPr="00994C9B">
        <w:rPr>
          <w:rFonts w:ascii="Tahoma" w:hAnsi="Tahoma" w:cs="Tahoma"/>
          <w:bCs/>
          <w:i/>
          <w:sz w:val="20"/>
        </w:rPr>
        <w:t>»</w:t>
      </w:r>
      <w:r w:rsidRPr="00994C9B">
        <w:rPr>
          <w:rFonts w:ascii="Tahoma" w:hAnsi="Tahoma" w:cs="Tahoma"/>
          <w:bCs/>
          <w:i/>
          <w:sz w:val="20"/>
        </w:rPr>
        <w:t>(v nadaljevanju tudi: nadomestni deli ali rezervni deli)</w:t>
      </w:r>
      <w:r w:rsidRPr="00994C9B">
        <w:rPr>
          <w:rFonts w:ascii="Tahoma" w:hAnsi="Tahoma" w:cs="Tahoma"/>
          <w:bCs/>
          <w:i/>
          <w:sz w:val="20"/>
        </w:rPr>
        <w:t>«</w:t>
      </w:r>
      <w:r>
        <w:rPr>
          <w:rFonts w:ascii="Tahoma" w:hAnsi="Tahoma" w:cs="Tahoma"/>
          <w:bCs/>
          <w:sz w:val="20"/>
        </w:rPr>
        <w:t>,</w:t>
      </w:r>
    </w:p>
    <w:p w:rsidR="00FB71A7" w:rsidRDefault="00FB71A7" w:rsidP="006862BE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16</w:t>
      </w:r>
      <w:r>
        <w:rPr>
          <w:rFonts w:ascii="Tahoma" w:hAnsi="Tahoma" w:cs="Tahoma"/>
          <w:bCs/>
          <w:sz w:val="20"/>
        </w:rPr>
        <w:t>. člen okvirnega sporazuma na način</w:t>
      </w:r>
      <w:r>
        <w:rPr>
          <w:rFonts w:ascii="Tahoma" w:hAnsi="Tahoma" w:cs="Tahoma"/>
          <w:bCs/>
          <w:sz w:val="20"/>
        </w:rPr>
        <w:t xml:space="preserve">, da črta celotno besedilo 16. </w:t>
      </w:r>
      <w:r w:rsidR="00994C9B">
        <w:rPr>
          <w:rFonts w:ascii="Tahoma" w:hAnsi="Tahoma" w:cs="Tahoma"/>
          <w:bCs/>
          <w:sz w:val="20"/>
        </w:rPr>
        <w:t>č</w:t>
      </w:r>
      <w:r>
        <w:rPr>
          <w:rFonts w:ascii="Tahoma" w:hAnsi="Tahoma" w:cs="Tahoma"/>
          <w:bCs/>
          <w:sz w:val="20"/>
        </w:rPr>
        <w:t>lena okvirnega sporazuma in se ga nadomesti z naslednjim besedilom, ki se po spremembi glasi:</w:t>
      </w:r>
      <w:bookmarkStart w:id="0" w:name="_GoBack"/>
      <w:bookmarkEnd w:id="0"/>
    </w:p>
    <w:p w:rsidR="00FB71A7" w:rsidRPr="00FB71A7" w:rsidRDefault="00FB71A7" w:rsidP="00FB71A7">
      <w:pPr>
        <w:keepNext/>
        <w:jc w:val="both"/>
        <w:rPr>
          <w:rFonts w:ascii="Tahoma" w:hAnsi="Tahoma" w:cs="Tahoma"/>
          <w:bCs/>
          <w:sz w:val="20"/>
        </w:rPr>
      </w:pPr>
    </w:p>
    <w:p w:rsidR="006862BE" w:rsidRPr="00FB71A7" w:rsidRDefault="00994C9B" w:rsidP="00FB71A7">
      <w:pPr>
        <w:pStyle w:val="Odstavekseznama"/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i/>
          <w:iCs/>
          <w:sz w:val="20"/>
        </w:rPr>
        <w:t>»</w:t>
      </w:r>
      <w:r w:rsidR="006862BE" w:rsidRPr="00FB71A7">
        <w:rPr>
          <w:rFonts w:ascii="Tahoma" w:hAnsi="Tahoma" w:cs="Tahoma"/>
          <w:i/>
          <w:iCs/>
          <w:sz w:val="20"/>
        </w:rPr>
        <w:t>Izvajalec bo izstavil naročniku račun za opravljene storitve v roku petih delovnih (5) dneh od datuma podpisa delovnega naloga ali dobavnice s strani predstavnika naročnika. Na računu mora biti navedena številka nabavnega naročila naročnika, specificirana količina in cena opravljenih storitev, vgrajenih nadomestnih delov in vgrajene opreme ter popust na veljavne cenike, naveden v 5. členu tega okvirnega sporazuma. K računu mora biti priložen podpisan delovni nalog ali dobavnica.</w:t>
      </w:r>
    </w:p>
    <w:p w:rsidR="006862BE" w:rsidRDefault="006862BE" w:rsidP="006862BE">
      <w:pPr>
        <w:keepNext/>
        <w:jc w:val="both"/>
        <w:rPr>
          <w:rFonts w:ascii="Calibri" w:hAnsi="Calibri"/>
          <w:i/>
          <w:iCs/>
          <w:color w:val="1F497D"/>
          <w:sz w:val="22"/>
          <w:szCs w:val="22"/>
        </w:rPr>
      </w:pPr>
    </w:p>
    <w:p w:rsidR="006862BE" w:rsidRDefault="006862BE" w:rsidP="00FB71A7">
      <w:pPr>
        <w:keepNext/>
        <w:ind w:left="708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Naročnik ima pravico obrazloženo zavrniti nepravilni račun v roku osmih (8) delovnih dni po prejemu računa, izvajalec pa je dolžan v tem primeru izstaviti nov, pravilni račun v roku petih (5) delovnih dni od zavrnitve, na katerem bo izkazana pravilna vrednost izvedenih storitev in vgrajenih nadomestnih delov. </w:t>
      </w:r>
    </w:p>
    <w:p w:rsidR="006862BE" w:rsidRDefault="006862BE" w:rsidP="006862BE">
      <w:pPr>
        <w:keepNext/>
        <w:jc w:val="both"/>
        <w:rPr>
          <w:rFonts w:ascii="Tahoma" w:hAnsi="Tahoma" w:cs="Tahoma"/>
          <w:i/>
          <w:iCs/>
          <w:sz w:val="20"/>
        </w:rPr>
      </w:pPr>
    </w:p>
    <w:p w:rsidR="006862BE" w:rsidRDefault="006862BE" w:rsidP="00FB71A7">
      <w:pPr>
        <w:keepNext/>
        <w:ind w:firstLine="708"/>
        <w:jc w:val="both"/>
        <w:rPr>
          <w:rFonts w:ascii="Tahoma" w:hAnsi="Tahoma" w:cs="Tahoma"/>
          <w:i/>
          <w:iCs/>
          <w:sz w:val="20"/>
          <w:lang w:eastAsia="ar-SA"/>
        </w:rPr>
      </w:pPr>
      <w:r>
        <w:rPr>
          <w:rFonts w:ascii="Tahoma" w:hAnsi="Tahoma" w:cs="Tahoma"/>
          <w:i/>
          <w:iCs/>
          <w:sz w:val="20"/>
          <w:lang w:eastAsia="ar-SA"/>
        </w:rPr>
        <w:t>DDV se obračuna po veljavni stopnji na dan opravljene storitve.</w:t>
      </w:r>
    </w:p>
    <w:p w:rsidR="006862BE" w:rsidRDefault="006862BE" w:rsidP="006862BE">
      <w:pPr>
        <w:keepNext/>
        <w:jc w:val="both"/>
        <w:rPr>
          <w:rFonts w:ascii="Tahoma" w:hAnsi="Tahoma" w:cs="Tahoma"/>
          <w:i/>
          <w:iCs/>
          <w:sz w:val="20"/>
        </w:rPr>
      </w:pPr>
    </w:p>
    <w:p w:rsidR="006862BE" w:rsidRDefault="006862BE" w:rsidP="00FB71A7">
      <w:pPr>
        <w:keepNext/>
        <w:ind w:left="708"/>
        <w:jc w:val="both"/>
        <w:rPr>
          <w:rFonts w:ascii="Tahoma" w:hAnsi="Tahoma" w:cs="Tahoma"/>
          <w:i/>
          <w:iCs/>
          <w:sz w:val="20"/>
          <w:lang w:eastAsia="en-US"/>
        </w:rPr>
      </w:pPr>
      <w:r>
        <w:rPr>
          <w:rFonts w:ascii="Tahoma" w:hAnsi="Tahoma" w:cs="Tahoma"/>
          <w:i/>
          <w:iCs/>
          <w:sz w:val="20"/>
          <w:u w:val="single"/>
        </w:rPr>
        <w:t xml:space="preserve">A. V primeru, da ima izvajalec sedež v Republiki Sloveniji: </w:t>
      </w:r>
      <w:r>
        <w:rPr>
          <w:rFonts w:ascii="Tahoma" w:hAnsi="Tahoma" w:cs="Tahoma"/>
          <w:i/>
          <w:iCs/>
          <w:sz w:val="20"/>
        </w:rPr>
        <w:t xml:space="preserve">Naročnik  bo prejete pravilne račune v skladu s prvim in drugim odstavkom tega člena, plačal na transakcijski račun izvajalca oz. podizvajalca, ki je uradno evidentiran pri AJPES in bo naveden na računu, v roku 30 (tridesetih) dni od dneva izstavitve posameznega pravilnega računa. </w:t>
      </w:r>
    </w:p>
    <w:p w:rsidR="006862BE" w:rsidRDefault="006862BE" w:rsidP="006862BE">
      <w:pPr>
        <w:keepNext/>
        <w:jc w:val="both"/>
        <w:rPr>
          <w:rFonts w:ascii="Tahoma" w:hAnsi="Tahoma" w:cs="Tahoma"/>
          <w:i/>
          <w:iCs/>
          <w:sz w:val="20"/>
        </w:rPr>
      </w:pPr>
    </w:p>
    <w:p w:rsidR="006862BE" w:rsidRDefault="006862BE" w:rsidP="00FB71A7">
      <w:pPr>
        <w:keepNext/>
        <w:ind w:left="708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  <w:u w:val="single"/>
        </w:rPr>
        <w:t xml:space="preserve">B. V primeru, da  izvajalec nima sedeža v Republiki Sloveniji: </w:t>
      </w:r>
      <w:r>
        <w:rPr>
          <w:rFonts w:ascii="Tahoma" w:hAnsi="Tahoma" w:cs="Tahoma"/>
          <w:i/>
          <w:iCs/>
          <w:sz w:val="20"/>
        </w:rPr>
        <w:t xml:space="preserve">Naročnik bo račune v skladu s prvim in drugim odstavkom tega člena, plačal na poslovni račun izvajalca oz. podizvajalca v roku 30 (tridesetih) dni od dneva izstavitve posameznega pravilnega računa. Poslovni račun mora biti naveden tudi na posameznem računu. </w:t>
      </w:r>
    </w:p>
    <w:p w:rsidR="006862BE" w:rsidRDefault="006862BE" w:rsidP="006862BE">
      <w:pPr>
        <w:keepNext/>
        <w:jc w:val="both"/>
        <w:rPr>
          <w:rFonts w:ascii="Tahoma" w:hAnsi="Tahoma" w:cs="Tahoma"/>
          <w:i/>
          <w:iCs/>
          <w:sz w:val="20"/>
        </w:rPr>
      </w:pPr>
    </w:p>
    <w:p w:rsidR="006862BE" w:rsidRDefault="006862BE" w:rsidP="00FB71A7">
      <w:pPr>
        <w:keepNext/>
        <w:ind w:left="708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V primeru zamude s plačilom je izvajalec upravičen zaračunati naročniku zakonite zamudne </w:t>
      </w:r>
      <w:r w:rsidR="00994C9B">
        <w:rPr>
          <w:rFonts w:ascii="Tahoma" w:hAnsi="Tahoma" w:cs="Tahoma"/>
          <w:i/>
          <w:iCs/>
          <w:sz w:val="20"/>
        </w:rPr>
        <w:t>obresti.»</w:t>
      </w:r>
    </w:p>
    <w:p w:rsidR="009432A3" w:rsidRDefault="009432A3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9432A3" w:rsidRDefault="009432A3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6862BE" w:rsidRDefault="006862BE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9432A3" w:rsidRDefault="00433EAA" w:rsidP="006862BE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>Naročnik bo navedene spremembe upošteval pri pripravi okvirnega sporazuma z izbranim ponudnikom za posamezni sklop predmeta javnega naročila.</w:t>
      </w:r>
    </w:p>
    <w:p w:rsidR="004B78F7" w:rsidRDefault="004B78F7" w:rsidP="006862BE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433EAA">
        <w:rPr>
          <w:rFonts w:ascii="Tahoma" w:hAnsi="Tahoma" w:cs="Tahoma"/>
          <w:bCs/>
          <w:sz w:val="20"/>
        </w:rPr>
        <w:t>spremembo razpisne dokumentacije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994C9B">
        <w:rPr>
          <w:rFonts w:ascii="Tahoma" w:hAnsi="Tahoma" w:cs="Tahoma"/>
          <w:bCs/>
          <w:sz w:val="20"/>
        </w:rPr>
        <w:t>5</w:t>
      </w:r>
      <w:r w:rsidR="00433EAA">
        <w:rPr>
          <w:rFonts w:ascii="Tahoma" w:hAnsi="Tahoma" w:cs="Tahoma"/>
          <w:bCs/>
          <w:sz w:val="20"/>
        </w:rPr>
        <w:t>.7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433EAA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433EAA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6862BE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94C9B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6DF030D"/>
    <w:multiLevelType w:val="hybridMultilevel"/>
    <w:tmpl w:val="8E2C9588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3EAA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383B-7D92-439D-A321-A5F50FA6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7</cp:revision>
  <cp:lastPrinted>2018-07-05T07:39:00Z</cp:lastPrinted>
  <dcterms:created xsi:type="dcterms:W3CDTF">2018-06-20T07:32:00Z</dcterms:created>
  <dcterms:modified xsi:type="dcterms:W3CDTF">2018-07-05T07:44:00Z</dcterms:modified>
</cp:coreProperties>
</file>