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A4B8" w14:textId="77777777" w:rsidR="00292109" w:rsidRDefault="00292109" w:rsidP="004C2BCD">
      <w:pPr>
        <w:keepNext/>
        <w:keepLines/>
        <w:rPr>
          <w:rFonts w:ascii="Tahoma" w:hAnsi="Tahoma" w:cs="Tahoma"/>
          <w:sz w:val="20"/>
          <w:lang w:val="en-US"/>
        </w:rPr>
      </w:pPr>
    </w:p>
    <w:p w14:paraId="01CF1CB0" w14:textId="77777777" w:rsidR="004C2BCD" w:rsidRDefault="004C2BCD" w:rsidP="004C2BCD">
      <w:pPr>
        <w:keepNext/>
        <w:keepLines/>
        <w:rPr>
          <w:rFonts w:ascii="Tahoma" w:hAnsi="Tahoma" w:cs="Tahoma"/>
          <w:sz w:val="20"/>
          <w:lang w:val="en-US"/>
        </w:rPr>
      </w:pPr>
    </w:p>
    <w:p w14:paraId="23BEFC44" w14:textId="77D253CC" w:rsidR="00B8409C" w:rsidRPr="009F4FFF" w:rsidRDefault="00B8409C" w:rsidP="004C2BCD">
      <w:pPr>
        <w:keepNext/>
        <w:keepLines/>
        <w:rPr>
          <w:rFonts w:ascii="Tahoma" w:hAnsi="Tahoma" w:cs="Tahoma"/>
          <w:sz w:val="20"/>
          <w:lang w:val="en-US"/>
        </w:rPr>
      </w:pPr>
      <w:r w:rsidRPr="009F4FFF">
        <w:rPr>
          <w:rFonts w:ascii="Tahoma" w:hAnsi="Tahoma" w:cs="Tahoma"/>
          <w:sz w:val="20"/>
          <w:lang w:val="en-US"/>
        </w:rPr>
        <w:t xml:space="preserve">Datum: </w:t>
      </w:r>
      <w:r w:rsidR="00C91A50">
        <w:rPr>
          <w:rFonts w:ascii="Tahoma" w:hAnsi="Tahoma" w:cs="Tahoma"/>
          <w:sz w:val="20"/>
          <w:lang w:val="en-US"/>
        </w:rPr>
        <w:t>1</w:t>
      </w:r>
      <w:r w:rsidR="00D57FE9">
        <w:rPr>
          <w:rFonts w:ascii="Tahoma" w:hAnsi="Tahoma" w:cs="Tahoma"/>
          <w:sz w:val="20"/>
          <w:lang w:val="en-US"/>
        </w:rPr>
        <w:t>.</w:t>
      </w:r>
      <w:r w:rsidR="009947C8">
        <w:rPr>
          <w:rFonts w:ascii="Tahoma" w:hAnsi="Tahoma" w:cs="Tahoma"/>
          <w:sz w:val="20"/>
          <w:lang w:val="en-US"/>
        </w:rPr>
        <w:t xml:space="preserve"> 9</w:t>
      </w:r>
      <w:r w:rsidR="00D57FE9">
        <w:rPr>
          <w:rFonts w:ascii="Tahoma" w:hAnsi="Tahoma" w:cs="Tahoma"/>
          <w:sz w:val="20"/>
          <w:lang w:val="en-US"/>
        </w:rPr>
        <w:t>.</w:t>
      </w:r>
      <w:r w:rsidR="00C91A50">
        <w:rPr>
          <w:rFonts w:ascii="Tahoma" w:hAnsi="Tahoma" w:cs="Tahoma"/>
          <w:sz w:val="20"/>
          <w:lang w:val="en-US"/>
        </w:rPr>
        <w:t xml:space="preserve"> 2020</w:t>
      </w:r>
    </w:p>
    <w:p w14:paraId="70E072E0" w14:textId="77777777" w:rsidR="00B8409C" w:rsidRPr="009F4FFF" w:rsidRDefault="00B8409C" w:rsidP="004C2BCD">
      <w:pPr>
        <w:keepNext/>
        <w:keepLines/>
        <w:rPr>
          <w:rFonts w:ascii="Tahoma" w:hAnsi="Tahoma" w:cs="Tahoma"/>
          <w:sz w:val="20"/>
          <w:lang w:val="en-US"/>
        </w:rPr>
      </w:pPr>
    </w:p>
    <w:p w14:paraId="43177B34" w14:textId="578DC506" w:rsidR="00B8409C" w:rsidRPr="009F4FFF" w:rsidRDefault="00B8409C" w:rsidP="004C2BCD">
      <w:pPr>
        <w:keepNext/>
        <w:keepLines/>
        <w:rPr>
          <w:rFonts w:ascii="Tahoma" w:hAnsi="Tahoma" w:cs="Tahoma"/>
          <w:sz w:val="20"/>
        </w:rPr>
      </w:pPr>
      <w:r w:rsidRPr="009F4FFF">
        <w:rPr>
          <w:rFonts w:ascii="Tahoma" w:hAnsi="Tahoma" w:cs="Tahoma"/>
          <w:sz w:val="20"/>
        </w:rPr>
        <w:t>Spoštovani,</w:t>
      </w:r>
    </w:p>
    <w:p w14:paraId="76DE639D" w14:textId="77777777" w:rsidR="00B8409C" w:rsidRPr="009F4FFF" w:rsidRDefault="00B8409C" w:rsidP="004C2BCD">
      <w:pPr>
        <w:keepNext/>
        <w:keepLines/>
        <w:rPr>
          <w:rFonts w:ascii="Tahoma" w:hAnsi="Tahoma" w:cs="Tahoma"/>
          <w:sz w:val="20"/>
        </w:rPr>
      </w:pPr>
    </w:p>
    <w:p w14:paraId="4CA06330" w14:textId="77777777" w:rsidR="007C3B30" w:rsidRDefault="007C3B30" w:rsidP="004C2BCD">
      <w:pPr>
        <w:keepNext/>
        <w:keepLines/>
        <w:jc w:val="both"/>
        <w:rPr>
          <w:rFonts w:ascii="Tahoma" w:hAnsi="Tahoma" w:cs="Tahoma"/>
          <w:bCs/>
          <w:sz w:val="20"/>
        </w:rPr>
      </w:pPr>
      <w:r>
        <w:rPr>
          <w:rFonts w:ascii="Tahoma" w:hAnsi="Tahoma" w:cs="Tahoma"/>
          <w:bCs/>
          <w:sz w:val="20"/>
        </w:rPr>
        <w:t>objavljamo odgovor</w:t>
      </w:r>
      <w:r w:rsidR="00482216">
        <w:rPr>
          <w:rFonts w:ascii="Tahoma" w:hAnsi="Tahoma" w:cs="Tahoma"/>
          <w:bCs/>
          <w:sz w:val="20"/>
        </w:rPr>
        <w:t>e na vprašanja gospodarskih subjektov</w:t>
      </w:r>
      <w:r w:rsidRPr="007C3B30">
        <w:rPr>
          <w:rFonts w:ascii="Tahoma" w:hAnsi="Tahoma" w:cs="Tahoma"/>
          <w:bCs/>
          <w:sz w:val="20"/>
        </w:rPr>
        <w:t xml:space="preserve"> </w:t>
      </w:r>
      <w:r w:rsidR="00C91A50">
        <w:rPr>
          <w:rFonts w:ascii="Tahoma" w:hAnsi="Tahoma" w:cs="Tahoma"/>
          <w:bCs/>
          <w:sz w:val="20"/>
        </w:rPr>
        <w:t>za javno naročilo št. JHL-13/20</w:t>
      </w:r>
      <w:r>
        <w:rPr>
          <w:rFonts w:ascii="Tahoma" w:hAnsi="Tahoma" w:cs="Tahoma"/>
          <w:bCs/>
          <w:sz w:val="20"/>
        </w:rPr>
        <w:t xml:space="preserve"> </w:t>
      </w:r>
      <w:r w:rsidR="00C91A50" w:rsidRPr="00C91A50">
        <w:rPr>
          <w:rFonts w:ascii="Tahoma" w:hAnsi="Tahoma" w:cs="Tahoma"/>
          <w:bCs/>
          <w:sz w:val="20"/>
        </w:rPr>
        <w:t>KOMUNALNA IN PROMETNA UREDITEV ČRNOVAŠKE CESTE</w:t>
      </w:r>
      <w:r w:rsidR="00482216">
        <w:rPr>
          <w:rFonts w:ascii="Tahoma" w:hAnsi="Tahoma" w:cs="Tahoma"/>
          <w:bCs/>
          <w:sz w:val="20"/>
        </w:rPr>
        <w:t>, ki smo jih</w:t>
      </w:r>
      <w:r>
        <w:rPr>
          <w:rFonts w:ascii="Tahoma" w:hAnsi="Tahoma" w:cs="Tahoma"/>
          <w:bCs/>
          <w:sz w:val="20"/>
        </w:rPr>
        <w:t xml:space="preserve"> prejeli preko Portala javnih naročil. </w:t>
      </w:r>
    </w:p>
    <w:p w14:paraId="400A0AAB" w14:textId="77777777" w:rsidR="00763D0C" w:rsidRDefault="00763D0C" w:rsidP="004C2BCD">
      <w:pPr>
        <w:keepNext/>
        <w:keepLines/>
        <w:tabs>
          <w:tab w:val="left" w:pos="8505"/>
        </w:tabs>
        <w:jc w:val="both"/>
        <w:rPr>
          <w:rFonts w:ascii="Tahoma" w:hAnsi="Tahoma" w:cs="Tahoma"/>
          <w:color w:val="FF0000"/>
          <w:sz w:val="20"/>
        </w:rPr>
      </w:pPr>
    </w:p>
    <w:p w14:paraId="5C4820FB" w14:textId="77777777" w:rsidR="00482216" w:rsidRPr="007D1E0B" w:rsidRDefault="00482216"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56261560" w14:textId="77777777" w:rsidR="005C2C33" w:rsidRDefault="005C2C33" w:rsidP="004C2BCD">
      <w:pPr>
        <w:keepNext/>
        <w:keepLines/>
        <w:jc w:val="both"/>
        <w:rPr>
          <w:rFonts w:ascii="Tahoma" w:hAnsi="Tahoma" w:cs="Tahoma"/>
          <w:bCs/>
          <w:sz w:val="20"/>
        </w:rPr>
      </w:pPr>
      <w:r w:rsidRPr="005C2C33">
        <w:rPr>
          <w:rFonts w:ascii="Tahoma" w:hAnsi="Tahoma" w:cs="Tahoma"/>
          <w:bCs/>
          <w:sz w:val="20"/>
        </w:rPr>
        <w:t>Glede na zahtevnost vaših pogojev za sodelovanje in zahtev po potrjenih referenčnih potrdilih na vaših obrazcih, vas prosimo za podaljšanje roka za oddajo prijav vsaj za dva tedna.</w:t>
      </w:r>
    </w:p>
    <w:p w14:paraId="0E0ED5B3" w14:textId="77777777" w:rsidR="005C2C33" w:rsidRPr="007D1E0B" w:rsidRDefault="005C2C33" w:rsidP="004C2BCD">
      <w:pPr>
        <w:keepNext/>
        <w:keepLines/>
        <w:tabs>
          <w:tab w:val="left" w:pos="8505"/>
        </w:tabs>
        <w:jc w:val="both"/>
        <w:rPr>
          <w:rFonts w:ascii="Tahoma" w:hAnsi="Tahoma" w:cs="Tahoma"/>
          <w:color w:val="FF0000"/>
          <w:sz w:val="20"/>
        </w:rPr>
      </w:pPr>
    </w:p>
    <w:p w14:paraId="6A28F4FD" w14:textId="77777777" w:rsidR="00482216" w:rsidRDefault="00482216"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2A9E027B" w14:textId="1425E893" w:rsidR="00763D0C" w:rsidRPr="004C2BCD" w:rsidRDefault="000C0D02" w:rsidP="004C2BCD">
      <w:pPr>
        <w:keepNext/>
        <w:keepLines/>
        <w:pBdr>
          <w:bottom w:val="single" w:sz="4" w:space="1" w:color="auto"/>
        </w:pBdr>
        <w:jc w:val="both"/>
        <w:rPr>
          <w:rFonts w:ascii="Tahoma" w:hAnsi="Tahoma" w:cs="Tahoma"/>
          <w:bCs/>
          <w:sz w:val="20"/>
        </w:rPr>
      </w:pPr>
      <w:r w:rsidRPr="000C0D02">
        <w:rPr>
          <w:rFonts w:ascii="Tahoma" w:hAnsi="Tahoma" w:cs="Tahoma"/>
          <w:bCs/>
          <w:sz w:val="20"/>
        </w:rPr>
        <w:t>Naročnik roka za oddajo prijav ne bo podaljšal.</w:t>
      </w:r>
    </w:p>
    <w:p w14:paraId="123AF649" w14:textId="77777777" w:rsidR="004C2BCD" w:rsidRDefault="004C2BCD" w:rsidP="004C2BCD">
      <w:pPr>
        <w:keepNext/>
        <w:keepLines/>
        <w:tabs>
          <w:tab w:val="left" w:pos="8505"/>
        </w:tabs>
        <w:jc w:val="both"/>
        <w:rPr>
          <w:rFonts w:ascii="Tahoma" w:hAnsi="Tahoma" w:cs="Tahoma"/>
          <w:color w:val="FF0000"/>
          <w:sz w:val="20"/>
        </w:rPr>
      </w:pPr>
    </w:p>
    <w:p w14:paraId="0AD1ED9F" w14:textId="47C601AC" w:rsidR="00482216" w:rsidRPr="007D1E0B" w:rsidRDefault="00482216"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3295A46F" w14:textId="77777777" w:rsidR="005C2C33" w:rsidRPr="005C2C33" w:rsidRDefault="005C2C33" w:rsidP="004C2BCD">
      <w:pPr>
        <w:keepNext/>
        <w:keepLines/>
        <w:jc w:val="both"/>
        <w:rPr>
          <w:rFonts w:ascii="Tahoma" w:hAnsi="Tahoma" w:cs="Tahoma"/>
          <w:bCs/>
          <w:sz w:val="20"/>
        </w:rPr>
      </w:pPr>
      <w:r w:rsidRPr="005C2C33">
        <w:rPr>
          <w:rFonts w:ascii="Tahoma" w:hAnsi="Tahoma" w:cs="Tahoma"/>
          <w:bCs/>
          <w:sz w:val="20"/>
        </w:rPr>
        <w:t xml:space="preserve">Kolikor razumemo vaša navodila na str. 10 pod A:, lahko namesto Pooblastil priložimo dokazila o nekaznovanju, ki izkazujejo zahtevo po ZJN-3. kar se tiče razlogov za izključitev, po 1. odst. 75. čl.? </w:t>
      </w:r>
    </w:p>
    <w:p w14:paraId="31D20E97" w14:textId="77777777" w:rsidR="005C2C33" w:rsidRDefault="005C2C33" w:rsidP="004C2BCD">
      <w:pPr>
        <w:keepNext/>
        <w:keepLines/>
        <w:tabs>
          <w:tab w:val="left" w:pos="8505"/>
        </w:tabs>
        <w:jc w:val="both"/>
        <w:rPr>
          <w:rFonts w:ascii="Tahoma" w:hAnsi="Tahoma" w:cs="Tahoma"/>
          <w:color w:val="00B050"/>
          <w:sz w:val="20"/>
        </w:rPr>
      </w:pPr>
    </w:p>
    <w:p w14:paraId="62868FA5" w14:textId="77777777" w:rsidR="00482216" w:rsidRPr="007D1E0B" w:rsidRDefault="00482216"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5F419025" w14:textId="77777777" w:rsidR="005C2C33" w:rsidRPr="000C0D02" w:rsidRDefault="000C0D02" w:rsidP="004C2BCD">
      <w:pPr>
        <w:keepNext/>
        <w:keepLines/>
        <w:pBdr>
          <w:bottom w:val="single" w:sz="4" w:space="1" w:color="auto"/>
        </w:pBdr>
        <w:tabs>
          <w:tab w:val="left" w:pos="8505"/>
        </w:tabs>
        <w:spacing w:after="120"/>
        <w:jc w:val="both"/>
        <w:rPr>
          <w:rFonts w:ascii="Tahoma" w:hAnsi="Tahoma" w:cs="Tahoma"/>
          <w:bCs/>
          <w:sz w:val="20"/>
        </w:rPr>
      </w:pPr>
      <w:r w:rsidRPr="000C0D02">
        <w:rPr>
          <w:rFonts w:ascii="Tahoma" w:hAnsi="Tahoma" w:cs="Tahoma"/>
          <w:bCs/>
          <w:sz w:val="20"/>
        </w:rPr>
        <w:t xml:space="preserve">Ponudnik oziroma ponudba morata po naravi stvari ter glede na specifičnosti postopka oddaje javnega naročila pogoje za ugotavljanje sposobnosti vsebinsko izpolnjevati na dan poteka roka za oddajo </w:t>
      </w:r>
      <w:r>
        <w:rPr>
          <w:rFonts w:ascii="Tahoma" w:hAnsi="Tahoma" w:cs="Tahoma"/>
          <w:bCs/>
          <w:sz w:val="20"/>
        </w:rPr>
        <w:t>prijav/ponudb</w:t>
      </w:r>
      <w:r w:rsidRPr="000C0D02">
        <w:rPr>
          <w:rFonts w:ascii="Tahoma" w:hAnsi="Tahoma" w:cs="Tahoma"/>
          <w:bCs/>
          <w:sz w:val="20"/>
        </w:rPr>
        <w:t xml:space="preserve">, razen v primeru, ko ZJN-3 izrecno določa drugače (npr. drugi odstavek 75. člena ZJN-3 določa kot presečni datum »dan oddaje ponudbe«). Glede na to, da ZJN-3 (za razliko od predhodnega ZJN-2) ne obravnava več roka veljavnosti dokazil (izpisa) iz uradnih evidenc, ki ga lahko naročnik upošteva pri preverjanju gospodarskega subjekta, bo naročnik od ponudnika (v vsakem primeru) zahteval ustrezna pooblastila za pridobitev podatkov iz kazenske evidence, v kolikor le ta ne bodo priložena v </w:t>
      </w:r>
      <w:r>
        <w:rPr>
          <w:rFonts w:ascii="Tahoma" w:hAnsi="Tahoma" w:cs="Tahoma"/>
          <w:bCs/>
          <w:sz w:val="20"/>
        </w:rPr>
        <w:t>prijavi</w:t>
      </w:r>
      <w:r w:rsidRPr="000C0D02">
        <w:rPr>
          <w:rFonts w:ascii="Tahoma" w:hAnsi="Tahoma" w:cs="Tahoma"/>
          <w:bCs/>
          <w:sz w:val="20"/>
        </w:rPr>
        <w:t xml:space="preserve">. </w:t>
      </w:r>
    </w:p>
    <w:p w14:paraId="7143C829" w14:textId="77777777" w:rsidR="00482216" w:rsidRPr="007D1E0B" w:rsidRDefault="00482216"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5062BC3D" w14:textId="77777777" w:rsidR="005C2C33" w:rsidRDefault="005C2C33" w:rsidP="004C2BCD">
      <w:pPr>
        <w:keepNext/>
        <w:keepLines/>
        <w:jc w:val="both"/>
        <w:rPr>
          <w:rFonts w:ascii="Tahoma" w:hAnsi="Tahoma" w:cs="Tahoma"/>
          <w:bCs/>
          <w:sz w:val="20"/>
        </w:rPr>
      </w:pPr>
      <w:r w:rsidRPr="005C2C33">
        <w:rPr>
          <w:rFonts w:ascii="Tahoma" w:hAnsi="Tahoma" w:cs="Tahoma"/>
          <w:bCs/>
          <w:sz w:val="20"/>
        </w:rPr>
        <w:t>Se vi mogoče hecate s postavitvijo referenčnih pogojev tako za podjetje kot za vodje del?</w:t>
      </w:r>
    </w:p>
    <w:p w14:paraId="76DC4700" w14:textId="77777777" w:rsidR="005C2C33" w:rsidRDefault="005C2C33" w:rsidP="004C2BCD">
      <w:pPr>
        <w:keepNext/>
        <w:keepLines/>
        <w:jc w:val="both"/>
        <w:rPr>
          <w:rFonts w:ascii="Tahoma" w:hAnsi="Tahoma" w:cs="Tahoma"/>
          <w:bCs/>
          <w:sz w:val="20"/>
        </w:rPr>
      </w:pPr>
      <w:r w:rsidRPr="005C2C33">
        <w:rPr>
          <w:rFonts w:ascii="Tahoma" w:hAnsi="Tahoma" w:cs="Tahoma"/>
          <w:bCs/>
          <w:sz w:val="20"/>
        </w:rPr>
        <w:t xml:space="preserve"> </w:t>
      </w:r>
      <w:r w:rsidRPr="005C2C33">
        <w:rPr>
          <w:rFonts w:ascii="Tahoma" w:hAnsi="Tahoma" w:cs="Tahoma"/>
          <w:bCs/>
          <w:sz w:val="20"/>
        </w:rPr>
        <w:br/>
        <w:t>Zakaj za pogoje, ki so že tako zahtevni, zahtevate še več takih istih referenc, npr. 3x vodovod..., 3x plinovod... . ali mislite, da se ti seštevajo? Recimo 3 reference, ki skupno izpolnjujejo izgradnjo plinovodnega omrežja v skupni dolžini glavnih plinovodov najmanj 2.5 km? Ste mislili, da lahko z najmanj 3 referencami v skupnem seštevku ugodimo celotni dolžini po 2,5 km? Velja isto za vodovod?</w:t>
      </w:r>
    </w:p>
    <w:p w14:paraId="7B9CB8D7" w14:textId="77777777" w:rsidR="005C2C33" w:rsidRDefault="005C2C33" w:rsidP="004C2BCD">
      <w:pPr>
        <w:keepNext/>
        <w:keepLines/>
        <w:jc w:val="both"/>
        <w:rPr>
          <w:rFonts w:ascii="Tahoma" w:hAnsi="Tahoma" w:cs="Tahoma"/>
          <w:bCs/>
          <w:sz w:val="20"/>
        </w:rPr>
      </w:pPr>
      <w:r w:rsidRPr="005C2C33">
        <w:rPr>
          <w:rFonts w:ascii="Tahoma" w:hAnsi="Tahoma" w:cs="Tahoma"/>
          <w:bCs/>
          <w:sz w:val="20"/>
        </w:rPr>
        <w:br/>
        <w:t>Kaj mislite pri zahtevi c) za vodjo gradnje, se dolžina največ treh referenc sešteva, da se ugodi dolžini po najmanj 2,5 km.</w:t>
      </w:r>
    </w:p>
    <w:p w14:paraId="466C1B66" w14:textId="77777777" w:rsidR="005C2C33" w:rsidRDefault="005C2C33" w:rsidP="004C2BCD">
      <w:pPr>
        <w:keepNext/>
        <w:keepLines/>
        <w:jc w:val="both"/>
        <w:rPr>
          <w:rFonts w:ascii="Tahoma" w:hAnsi="Tahoma" w:cs="Tahoma"/>
          <w:bCs/>
          <w:sz w:val="20"/>
        </w:rPr>
      </w:pPr>
      <w:r w:rsidRPr="005C2C33">
        <w:rPr>
          <w:rFonts w:ascii="Tahoma" w:hAnsi="Tahoma" w:cs="Tahoma"/>
          <w:bCs/>
          <w:sz w:val="20"/>
        </w:rPr>
        <w:br/>
        <w:t xml:space="preserve">Najbolj zabavna pa je zahteva g) za gospodarski subjekt, kjer mora ponudnik že obvladati kombinatoriko da zadosti vašim zahtevam, no tisti, ki vam je najbrž dal seznam svojih referenc, po katerih ste pripisali alineje za pogoje, s tem ne bo imel težav. </w:t>
      </w:r>
    </w:p>
    <w:p w14:paraId="3C63E54E" w14:textId="77777777" w:rsidR="005C2C33" w:rsidRDefault="005C2C33" w:rsidP="004C2BCD">
      <w:pPr>
        <w:keepNext/>
        <w:keepLines/>
        <w:jc w:val="both"/>
        <w:rPr>
          <w:rFonts w:ascii="Tahoma" w:hAnsi="Tahoma" w:cs="Tahoma"/>
          <w:bCs/>
          <w:sz w:val="20"/>
        </w:rPr>
      </w:pPr>
      <w:r w:rsidRPr="005C2C33">
        <w:rPr>
          <w:rFonts w:ascii="Tahoma" w:hAnsi="Tahoma" w:cs="Tahoma"/>
          <w:bCs/>
          <w:sz w:val="20"/>
        </w:rPr>
        <w:br/>
        <w:t xml:space="preserve">Pozivamo vas, da nemudoma, da ne bomo zadnji trenutek, ko bo že prepozno, le imeli možnost sodelovanja pri javnem naročilu omilite in spremenite referenčne pogoje na način, da boste lahko zagotovili večjo konkurenčnost, kar je najbrž tudi v interesu davkoplačevalcem. </w:t>
      </w:r>
    </w:p>
    <w:p w14:paraId="5F60C597" w14:textId="1DBE119F" w:rsidR="005C2C33" w:rsidRDefault="005C2C33" w:rsidP="004C2BCD">
      <w:pPr>
        <w:keepNext/>
        <w:keepLines/>
        <w:jc w:val="both"/>
        <w:rPr>
          <w:rFonts w:ascii="Tahoma" w:hAnsi="Tahoma" w:cs="Tahoma"/>
          <w:bCs/>
          <w:sz w:val="20"/>
        </w:rPr>
      </w:pPr>
      <w:r w:rsidRPr="005C2C33">
        <w:rPr>
          <w:rFonts w:ascii="Tahoma" w:hAnsi="Tahoma" w:cs="Tahoma"/>
          <w:bCs/>
          <w:sz w:val="20"/>
        </w:rPr>
        <w:lastRenderedPageBreak/>
        <w:t xml:space="preserve">Pozivamo vas, da za vsak pogoj od a) do f) za reference za gospodarski subjekt zahtevate samo po eno referenco kot je v zahtevi, oz. dovolite seštevanje </w:t>
      </w:r>
      <w:proofErr w:type="spellStart"/>
      <w:r w:rsidRPr="005C2C33">
        <w:rPr>
          <w:rFonts w:ascii="Tahoma" w:hAnsi="Tahoma" w:cs="Tahoma"/>
          <w:bCs/>
          <w:sz w:val="20"/>
        </w:rPr>
        <w:t>večih</w:t>
      </w:r>
      <w:proofErr w:type="spellEnd"/>
      <w:r w:rsidRPr="005C2C33">
        <w:rPr>
          <w:rFonts w:ascii="Tahoma" w:hAnsi="Tahoma" w:cs="Tahoma"/>
          <w:bCs/>
          <w:sz w:val="20"/>
        </w:rPr>
        <w:t xml:space="preserve"> referenc za izpolnjevanje posameznega pogoja, zahtevo v točki g) pa izbrišete.</w:t>
      </w:r>
    </w:p>
    <w:p w14:paraId="1E890D0C" w14:textId="77777777" w:rsidR="005C2C33" w:rsidRPr="005C2C33" w:rsidRDefault="005C2C33" w:rsidP="004C2BCD">
      <w:pPr>
        <w:keepNext/>
        <w:keepLines/>
        <w:jc w:val="both"/>
        <w:rPr>
          <w:rFonts w:ascii="Tahoma" w:hAnsi="Tahoma" w:cs="Tahoma"/>
          <w:bCs/>
          <w:sz w:val="20"/>
        </w:rPr>
      </w:pPr>
      <w:r w:rsidRPr="005C2C33">
        <w:rPr>
          <w:rFonts w:ascii="Tahoma" w:hAnsi="Tahoma" w:cs="Tahoma"/>
          <w:bCs/>
          <w:sz w:val="20"/>
        </w:rPr>
        <w:t xml:space="preserve">Prav tako vas pozivamo za vodjo gradnje in vodjo del na isti način kot zgoraj, točko d) pri vodji gradnje pa izbrišete. </w:t>
      </w:r>
      <w:r w:rsidRPr="005C2C33">
        <w:rPr>
          <w:rFonts w:ascii="Tahoma" w:hAnsi="Tahoma" w:cs="Tahoma"/>
          <w:bCs/>
          <w:sz w:val="20"/>
        </w:rPr>
        <w:br/>
      </w:r>
      <w:r w:rsidRPr="005C2C33">
        <w:rPr>
          <w:rFonts w:ascii="Tahoma" w:hAnsi="Tahoma" w:cs="Tahoma"/>
          <w:bCs/>
          <w:sz w:val="20"/>
        </w:rPr>
        <w:br/>
        <w:t xml:space="preserve">Hvala! </w:t>
      </w:r>
    </w:p>
    <w:p w14:paraId="0AC63B03" w14:textId="77777777" w:rsidR="00482216" w:rsidRPr="007D1E0B" w:rsidRDefault="00482216" w:rsidP="004C2BCD">
      <w:pPr>
        <w:keepNext/>
        <w:keepLines/>
        <w:tabs>
          <w:tab w:val="left" w:pos="8505"/>
        </w:tabs>
        <w:spacing w:after="120"/>
        <w:jc w:val="both"/>
        <w:rPr>
          <w:rFonts w:ascii="Tahoma" w:hAnsi="Tahoma" w:cs="Tahoma"/>
          <w:color w:val="00B050"/>
          <w:sz w:val="20"/>
        </w:rPr>
      </w:pPr>
      <w:r w:rsidRPr="007D1E0B">
        <w:rPr>
          <w:rFonts w:ascii="Tahoma" w:hAnsi="Tahoma" w:cs="Tahoma"/>
          <w:bCs/>
          <w:sz w:val="20"/>
        </w:rPr>
        <w:br/>
      </w:r>
      <w:r w:rsidRPr="007D1E0B">
        <w:rPr>
          <w:rFonts w:ascii="Tahoma" w:hAnsi="Tahoma" w:cs="Tahoma"/>
          <w:color w:val="00B050"/>
          <w:sz w:val="20"/>
        </w:rPr>
        <w:t>ODGOVOR:</w:t>
      </w:r>
    </w:p>
    <w:p w14:paraId="71D297A9" w14:textId="6CCABC44" w:rsidR="009F2D87" w:rsidRDefault="009F2D87" w:rsidP="004C2BCD">
      <w:pPr>
        <w:keepNext/>
        <w:keepLines/>
        <w:tabs>
          <w:tab w:val="left" w:pos="8505"/>
        </w:tabs>
        <w:jc w:val="both"/>
        <w:rPr>
          <w:rFonts w:ascii="Tahoma" w:hAnsi="Tahoma" w:cs="Tahoma"/>
          <w:bCs/>
          <w:sz w:val="20"/>
        </w:rPr>
      </w:pPr>
      <w:r w:rsidRPr="009F2D87">
        <w:rPr>
          <w:rFonts w:ascii="Tahoma" w:hAnsi="Tahoma" w:cs="Tahoma"/>
          <w:bCs/>
          <w:sz w:val="20"/>
        </w:rPr>
        <w:t>Naročnik ne bo spreminjal</w:t>
      </w:r>
      <w:r w:rsidR="001C3585">
        <w:rPr>
          <w:rFonts w:ascii="Tahoma" w:hAnsi="Tahoma" w:cs="Tahoma"/>
          <w:bCs/>
          <w:sz w:val="20"/>
        </w:rPr>
        <w:t>:</w:t>
      </w:r>
    </w:p>
    <w:p w14:paraId="371129BA" w14:textId="77777777" w:rsidR="009F2D87" w:rsidRDefault="009F2D87" w:rsidP="004C2BCD">
      <w:pPr>
        <w:pStyle w:val="Odstavekseznama"/>
        <w:keepNext/>
        <w:keepLines/>
        <w:numPr>
          <w:ilvl w:val="0"/>
          <w:numId w:val="21"/>
        </w:numPr>
        <w:tabs>
          <w:tab w:val="left" w:pos="8505"/>
        </w:tabs>
        <w:jc w:val="both"/>
        <w:rPr>
          <w:rFonts w:ascii="Tahoma" w:hAnsi="Tahoma" w:cs="Tahoma"/>
          <w:bCs/>
          <w:sz w:val="20"/>
        </w:rPr>
      </w:pPr>
      <w:r w:rsidRPr="009F2D87">
        <w:rPr>
          <w:rFonts w:ascii="Tahoma" w:hAnsi="Tahoma" w:cs="Tahoma"/>
          <w:bCs/>
          <w:sz w:val="20"/>
        </w:rPr>
        <w:t>referenčnih pogojev v tč. 3.2.3.1. razpisne dokumentacije  (3.2.2.1. Tehnična in strokovna sposobnost – ponudnik)</w:t>
      </w:r>
      <w:r>
        <w:rPr>
          <w:rFonts w:ascii="Tahoma" w:hAnsi="Tahoma" w:cs="Tahoma"/>
          <w:bCs/>
          <w:sz w:val="20"/>
        </w:rPr>
        <w:t>,</w:t>
      </w:r>
    </w:p>
    <w:p w14:paraId="287A9DD0" w14:textId="77777777" w:rsidR="009F2D87" w:rsidRDefault="009F2D87" w:rsidP="004C2BCD">
      <w:pPr>
        <w:pStyle w:val="Odstavekseznama"/>
        <w:keepNext/>
        <w:keepLines/>
        <w:numPr>
          <w:ilvl w:val="0"/>
          <w:numId w:val="21"/>
        </w:numPr>
        <w:tabs>
          <w:tab w:val="left" w:pos="8505"/>
        </w:tabs>
        <w:jc w:val="both"/>
        <w:rPr>
          <w:rFonts w:ascii="Tahoma" w:hAnsi="Tahoma" w:cs="Tahoma"/>
          <w:bCs/>
          <w:sz w:val="20"/>
        </w:rPr>
      </w:pPr>
      <w:r w:rsidRPr="009F2D87">
        <w:rPr>
          <w:rFonts w:ascii="Tahoma" w:hAnsi="Tahoma" w:cs="Tahoma"/>
          <w:bCs/>
          <w:sz w:val="20"/>
        </w:rPr>
        <w:t>referenčnih pogojev v tč. 3.2.3.</w:t>
      </w:r>
      <w:r>
        <w:rPr>
          <w:rFonts w:ascii="Tahoma" w:hAnsi="Tahoma" w:cs="Tahoma"/>
          <w:bCs/>
          <w:sz w:val="20"/>
        </w:rPr>
        <w:t>3</w:t>
      </w:r>
      <w:r w:rsidRPr="009F2D87">
        <w:rPr>
          <w:rFonts w:ascii="Tahoma" w:hAnsi="Tahoma" w:cs="Tahoma"/>
          <w:bCs/>
          <w:sz w:val="20"/>
        </w:rPr>
        <w:t>. razpisne dokumentacije  (3.2.2.</w:t>
      </w:r>
      <w:r>
        <w:rPr>
          <w:rFonts w:ascii="Tahoma" w:hAnsi="Tahoma" w:cs="Tahoma"/>
          <w:bCs/>
          <w:sz w:val="20"/>
        </w:rPr>
        <w:t>3</w:t>
      </w:r>
      <w:r w:rsidRPr="009F2D87">
        <w:rPr>
          <w:rFonts w:ascii="Tahoma" w:hAnsi="Tahoma" w:cs="Tahoma"/>
          <w:bCs/>
          <w:sz w:val="20"/>
        </w:rPr>
        <w:t xml:space="preserve">. </w:t>
      </w:r>
      <w:r>
        <w:rPr>
          <w:rFonts w:ascii="Tahoma" w:hAnsi="Tahoma" w:cs="Tahoma"/>
          <w:bCs/>
          <w:sz w:val="20"/>
        </w:rPr>
        <w:t>Ključno osebje</w:t>
      </w:r>
      <w:r w:rsidRPr="009F2D87">
        <w:rPr>
          <w:rFonts w:ascii="Tahoma" w:hAnsi="Tahoma" w:cs="Tahoma"/>
          <w:bCs/>
          <w:sz w:val="20"/>
        </w:rPr>
        <w:t>)</w:t>
      </w:r>
      <w:r>
        <w:rPr>
          <w:rFonts w:ascii="Tahoma" w:hAnsi="Tahoma" w:cs="Tahoma"/>
          <w:bCs/>
          <w:sz w:val="20"/>
        </w:rPr>
        <w:t xml:space="preserve">, podtočka a) Vodja gradnje. </w:t>
      </w:r>
    </w:p>
    <w:p w14:paraId="0304F4DB" w14:textId="77777777" w:rsidR="009F2D87" w:rsidRDefault="009F2D87" w:rsidP="004C2BCD">
      <w:pPr>
        <w:keepNext/>
        <w:keepLines/>
        <w:tabs>
          <w:tab w:val="left" w:pos="8505"/>
        </w:tabs>
        <w:jc w:val="both"/>
        <w:rPr>
          <w:rFonts w:ascii="Tahoma" w:hAnsi="Tahoma" w:cs="Tahoma"/>
          <w:bCs/>
          <w:sz w:val="20"/>
        </w:rPr>
      </w:pPr>
    </w:p>
    <w:p w14:paraId="70322330" w14:textId="6F3803C2" w:rsidR="009F2D87" w:rsidRDefault="009F2D87" w:rsidP="004C2BCD">
      <w:pPr>
        <w:keepNext/>
        <w:keepLines/>
        <w:tabs>
          <w:tab w:val="left" w:pos="8505"/>
        </w:tabs>
        <w:jc w:val="both"/>
        <w:rPr>
          <w:rFonts w:ascii="Tahoma" w:hAnsi="Tahoma" w:cs="Tahoma"/>
          <w:bCs/>
          <w:sz w:val="20"/>
        </w:rPr>
      </w:pPr>
      <w:r>
        <w:rPr>
          <w:rFonts w:ascii="Tahoma" w:hAnsi="Tahoma" w:cs="Tahoma"/>
          <w:bCs/>
          <w:sz w:val="20"/>
        </w:rPr>
        <w:t>Naročnik dodatno pojasnjuje, da lahko gospodarski subjekt/ponudnik</w:t>
      </w:r>
      <w:r w:rsidR="001C3585">
        <w:rPr>
          <w:rFonts w:ascii="Tahoma" w:hAnsi="Tahoma" w:cs="Tahoma"/>
          <w:bCs/>
          <w:sz w:val="20"/>
        </w:rPr>
        <w:t>:</w:t>
      </w:r>
    </w:p>
    <w:p w14:paraId="4E7CDA08" w14:textId="16192880" w:rsidR="009F2D87" w:rsidRDefault="009F2D87" w:rsidP="004C2BCD">
      <w:pPr>
        <w:pStyle w:val="Odstavekseznama"/>
        <w:keepNext/>
        <w:keepLines/>
        <w:numPr>
          <w:ilvl w:val="0"/>
          <w:numId w:val="21"/>
        </w:numPr>
        <w:tabs>
          <w:tab w:val="left" w:pos="8505"/>
        </w:tabs>
        <w:jc w:val="both"/>
        <w:rPr>
          <w:rFonts w:ascii="Tahoma" w:hAnsi="Tahoma" w:cs="Tahoma"/>
          <w:bCs/>
          <w:sz w:val="20"/>
        </w:rPr>
      </w:pPr>
      <w:r>
        <w:rPr>
          <w:rFonts w:ascii="Tahoma" w:hAnsi="Tahoma" w:cs="Tahoma"/>
          <w:bCs/>
          <w:sz w:val="20"/>
        </w:rPr>
        <w:t>pri referenčnem pogoju</w:t>
      </w:r>
      <w:r w:rsidR="0024176C">
        <w:rPr>
          <w:rFonts w:ascii="Tahoma" w:hAnsi="Tahoma" w:cs="Tahoma"/>
          <w:bCs/>
          <w:sz w:val="20"/>
        </w:rPr>
        <w:t xml:space="preserve"> d)- </w:t>
      </w:r>
      <w:r w:rsidRPr="009F2D87">
        <w:rPr>
          <w:rFonts w:ascii="Tahoma" w:hAnsi="Tahoma" w:cs="Tahoma"/>
          <w:bCs/>
          <w:sz w:val="20"/>
        </w:rPr>
        <w:t>vodovod</w:t>
      </w:r>
      <w:r>
        <w:rPr>
          <w:rFonts w:ascii="Tahoma" w:hAnsi="Tahoma" w:cs="Tahoma"/>
          <w:bCs/>
          <w:sz w:val="20"/>
        </w:rPr>
        <w:t xml:space="preserve">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3.2.3.1. razpisne dokumentacije</w:t>
      </w:r>
      <w:r>
        <w:rPr>
          <w:rFonts w:ascii="Tahoma" w:hAnsi="Tahoma" w:cs="Tahoma"/>
          <w:bCs/>
          <w:sz w:val="20"/>
        </w:rPr>
        <w:t>)</w:t>
      </w:r>
      <w:r w:rsidR="0024176C">
        <w:rPr>
          <w:rFonts w:ascii="Tahoma" w:hAnsi="Tahoma" w:cs="Tahoma"/>
          <w:bCs/>
          <w:sz w:val="20"/>
        </w:rPr>
        <w:t xml:space="preserve"> </w:t>
      </w:r>
      <w:r>
        <w:rPr>
          <w:rFonts w:ascii="Tahoma" w:hAnsi="Tahoma" w:cs="Tahoma"/>
          <w:bCs/>
          <w:sz w:val="20"/>
        </w:rPr>
        <w:t>  izpolni</w:t>
      </w:r>
      <w:r w:rsidRPr="009F2D87">
        <w:rPr>
          <w:rFonts w:ascii="Tahoma" w:hAnsi="Tahoma" w:cs="Tahoma"/>
          <w:bCs/>
          <w:sz w:val="20"/>
        </w:rPr>
        <w:t xml:space="preserve"> pogoj z seštevkom največ treh</w:t>
      </w:r>
      <w:r>
        <w:rPr>
          <w:rFonts w:ascii="Tahoma" w:hAnsi="Tahoma" w:cs="Tahoma"/>
          <w:bCs/>
          <w:sz w:val="20"/>
        </w:rPr>
        <w:t xml:space="preserve"> (3)</w:t>
      </w:r>
      <w:r w:rsidRPr="009F2D87">
        <w:rPr>
          <w:rFonts w:ascii="Tahoma" w:hAnsi="Tahoma" w:cs="Tahoma"/>
          <w:bCs/>
          <w:sz w:val="20"/>
        </w:rPr>
        <w:t xml:space="preserve"> </w:t>
      </w:r>
      <w:r w:rsidR="00CE083B">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 xml:space="preserve">v </w:t>
      </w:r>
      <w:r w:rsidRPr="009F2D87">
        <w:rPr>
          <w:rFonts w:ascii="Tahoma" w:hAnsi="Tahoma" w:cs="Tahoma"/>
          <w:bCs/>
          <w:sz w:val="20"/>
        </w:rPr>
        <w:t>skupn</w:t>
      </w:r>
      <w:r>
        <w:rPr>
          <w:rFonts w:ascii="Tahoma" w:hAnsi="Tahoma" w:cs="Tahoma"/>
          <w:bCs/>
          <w:sz w:val="20"/>
        </w:rPr>
        <w:t>i</w:t>
      </w:r>
      <w:r w:rsidRPr="009F2D87">
        <w:rPr>
          <w:rFonts w:ascii="Tahoma" w:hAnsi="Tahoma" w:cs="Tahoma"/>
          <w:bCs/>
          <w:sz w:val="20"/>
        </w:rPr>
        <w:t xml:space="preserve"> dolžin</w:t>
      </w:r>
      <w:r>
        <w:rPr>
          <w:rFonts w:ascii="Tahoma" w:hAnsi="Tahoma" w:cs="Tahoma"/>
          <w:bCs/>
          <w:sz w:val="20"/>
        </w:rPr>
        <w:t>i</w:t>
      </w:r>
      <w:r w:rsidRPr="009F2D87">
        <w:rPr>
          <w:rFonts w:ascii="Tahoma" w:hAnsi="Tahoma" w:cs="Tahoma"/>
          <w:bCs/>
          <w:sz w:val="20"/>
        </w:rPr>
        <w:t xml:space="preserve"> 3</w:t>
      </w:r>
      <w:r>
        <w:rPr>
          <w:rFonts w:ascii="Tahoma" w:hAnsi="Tahoma" w:cs="Tahoma"/>
          <w:bCs/>
          <w:sz w:val="20"/>
        </w:rPr>
        <w:t>.000 m,</w:t>
      </w:r>
    </w:p>
    <w:p w14:paraId="26C53D8C" w14:textId="3CEA9506" w:rsidR="009F2D87" w:rsidRDefault="009F2D87" w:rsidP="004C2BCD">
      <w:pPr>
        <w:pStyle w:val="Odstavekseznama"/>
        <w:keepNext/>
        <w:keepLines/>
        <w:numPr>
          <w:ilvl w:val="0"/>
          <w:numId w:val="21"/>
        </w:numPr>
        <w:tabs>
          <w:tab w:val="left" w:pos="8505"/>
        </w:tabs>
        <w:jc w:val="both"/>
        <w:rPr>
          <w:rFonts w:ascii="Tahoma" w:hAnsi="Tahoma" w:cs="Tahoma"/>
          <w:bCs/>
          <w:sz w:val="20"/>
        </w:rPr>
      </w:pPr>
      <w:r>
        <w:rPr>
          <w:rFonts w:ascii="Tahoma" w:hAnsi="Tahoma" w:cs="Tahoma"/>
          <w:bCs/>
          <w:sz w:val="20"/>
        </w:rPr>
        <w:t>pri referenčnem</w:t>
      </w:r>
      <w:r w:rsidRPr="009F2D87">
        <w:rPr>
          <w:rFonts w:ascii="Tahoma" w:hAnsi="Tahoma" w:cs="Tahoma"/>
          <w:bCs/>
          <w:sz w:val="20"/>
        </w:rPr>
        <w:t xml:space="preserve"> pogoj</w:t>
      </w:r>
      <w:r w:rsidR="0024176C">
        <w:rPr>
          <w:rFonts w:ascii="Tahoma" w:hAnsi="Tahoma" w:cs="Tahoma"/>
          <w:bCs/>
          <w:sz w:val="20"/>
        </w:rPr>
        <w:t xml:space="preserve">u e)- </w:t>
      </w:r>
      <w:r w:rsidRPr="009F2D87">
        <w:rPr>
          <w:rFonts w:ascii="Tahoma" w:hAnsi="Tahoma" w:cs="Tahoma"/>
          <w:bCs/>
          <w:sz w:val="20"/>
        </w:rPr>
        <w:t>plinovod</w:t>
      </w:r>
      <w:r>
        <w:rPr>
          <w:rFonts w:ascii="Tahoma" w:hAnsi="Tahoma" w:cs="Tahoma"/>
          <w:bCs/>
          <w:sz w:val="20"/>
        </w:rPr>
        <w:t xml:space="preserve">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3.2.3.1. razpisne dokumentacije</w:t>
      </w:r>
      <w:r>
        <w:rPr>
          <w:rFonts w:ascii="Tahoma" w:hAnsi="Tahoma" w:cs="Tahoma"/>
          <w:bCs/>
          <w:sz w:val="20"/>
        </w:rPr>
        <w:t xml:space="preserve">)  izpolni </w:t>
      </w:r>
      <w:r w:rsidRPr="009F2D87">
        <w:rPr>
          <w:rFonts w:ascii="Tahoma" w:hAnsi="Tahoma" w:cs="Tahoma"/>
          <w:bCs/>
          <w:sz w:val="20"/>
        </w:rPr>
        <w:t>pogoj z seštevkom največ treh</w:t>
      </w:r>
      <w:r w:rsidR="00CE083B">
        <w:rPr>
          <w:rFonts w:ascii="Tahoma" w:hAnsi="Tahoma" w:cs="Tahoma"/>
          <w:bCs/>
          <w:sz w:val="20"/>
        </w:rPr>
        <w:t xml:space="preserve"> (3)</w:t>
      </w:r>
      <w:r w:rsidRPr="009F2D87">
        <w:rPr>
          <w:rFonts w:ascii="Tahoma" w:hAnsi="Tahoma" w:cs="Tahoma"/>
          <w:bCs/>
          <w:sz w:val="20"/>
        </w:rPr>
        <w:t xml:space="preserve"> </w:t>
      </w:r>
      <w:r w:rsidR="00CE083B">
        <w:rPr>
          <w:rFonts w:ascii="Tahoma" w:hAnsi="Tahoma" w:cs="Tahoma"/>
          <w:bCs/>
          <w:sz w:val="20"/>
        </w:rPr>
        <w:t xml:space="preserve">istovrstnih </w:t>
      </w:r>
      <w:r w:rsidRPr="009F2D87">
        <w:rPr>
          <w:rFonts w:ascii="Tahoma" w:hAnsi="Tahoma" w:cs="Tahoma"/>
          <w:bCs/>
          <w:sz w:val="20"/>
        </w:rPr>
        <w:t xml:space="preserve">referenc </w:t>
      </w:r>
      <w:r w:rsidR="00CE083B">
        <w:rPr>
          <w:rFonts w:ascii="Tahoma" w:hAnsi="Tahoma" w:cs="Tahoma"/>
          <w:bCs/>
          <w:sz w:val="20"/>
        </w:rPr>
        <w:t>v</w:t>
      </w:r>
      <w:r w:rsidRPr="009F2D87">
        <w:rPr>
          <w:rFonts w:ascii="Tahoma" w:hAnsi="Tahoma" w:cs="Tahoma"/>
          <w:bCs/>
          <w:sz w:val="20"/>
        </w:rPr>
        <w:t xml:space="preserve"> skupn</w:t>
      </w:r>
      <w:r w:rsidR="00CE083B">
        <w:rPr>
          <w:rFonts w:ascii="Tahoma" w:hAnsi="Tahoma" w:cs="Tahoma"/>
          <w:bCs/>
          <w:sz w:val="20"/>
        </w:rPr>
        <w:t>i</w:t>
      </w:r>
      <w:r w:rsidRPr="009F2D87">
        <w:rPr>
          <w:rFonts w:ascii="Tahoma" w:hAnsi="Tahoma" w:cs="Tahoma"/>
          <w:bCs/>
          <w:sz w:val="20"/>
        </w:rPr>
        <w:t xml:space="preserve"> dolžin</w:t>
      </w:r>
      <w:r w:rsidR="00CE083B">
        <w:rPr>
          <w:rFonts w:ascii="Tahoma" w:hAnsi="Tahoma" w:cs="Tahoma"/>
          <w:bCs/>
          <w:sz w:val="20"/>
        </w:rPr>
        <w:t>i</w:t>
      </w:r>
      <w:r w:rsidRPr="009F2D87">
        <w:rPr>
          <w:rFonts w:ascii="Tahoma" w:hAnsi="Tahoma" w:cs="Tahoma"/>
          <w:bCs/>
          <w:sz w:val="20"/>
        </w:rPr>
        <w:t xml:space="preserve"> 2,5 km</w:t>
      </w:r>
      <w:r w:rsidR="00951688">
        <w:rPr>
          <w:rFonts w:ascii="Tahoma" w:hAnsi="Tahoma" w:cs="Tahoma"/>
          <w:bCs/>
          <w:sz w:val="20"/>
        </w:rPr>
        <w:t>,</w:t>
      </w:r>
    </w:p>
    <w:p w14:paraId="77D6F920" w14:textId="10F7A0E1" w:rsidR="009F2D87" w:rsidRDefault="00951688" w:rsidP="004C2BCD">
      <w:pPr>
        <w:pStyle w:val="Odstavekseznama"/>
        <w:keepNext/>
        <w:keepLines/>
        <w:numPr>
          <w:ilvl w:val="0"/>
          <w:numId w:val="21"/>
        </w:numPr>
        <w:tabs>
          <w:tab w:val="left" w:pos="8505"/>
        </w:tabs>
        <w:jc w:val="both"/>
        <w:rPr>
          <w:rFonts w:ascii="Tahoma" w:hAnsi="Tahoma" w:cs="Tahoma"/>
          <w:bCs/>
          <w:sz w:val="20"/>
        </w:rPr>
      </w:pPr>
      <w:r>
        <w:rPr>
          <w:rFonts w:ascii="Tahoma" w:hAnsi="Tahoma" w:cs="Tahoma"/>
          <w:bCs/>
          <w:sz w:val="20"/>
        </w:rPr>
        <w:t>pri referenčnem</w:t>
      </w:r>
      <w:r w:rsidRPr="009F2D87">
        <w:rPr>
          <w:rFonts w:ascii="Tahoma" w:hAnsi="Tahoma" w:cs="Tahoma"/>
          <w:bCs/>
          <w:sz w:val="20"/>
        </w:rPr>
        <w:t xml:space="preserve"> pogoj</w:t>
      </w:r>
      <w:r w:rsidR="0024176C">
        <w:rPr>
          <w:rFonts w:ascii="Tahoma" w:hAnsi="Tahoma" w:cs="Tahoma"/>
          <w:bCs/>
          <w:sz w:val="20"/>
        </w:rPr>
        <w:t xml:space="preserve">u </w:t>
      </w:r>
      <w:r>
        <w:rPr>
          <w:rFonts w:ascii="Tahoma" w:hAnsi="Tahoma" w:cs="Tahoma"/>
          <w:bCs/>
          <w:sz w:val="20"/>
        </w:rPr>
        <w:t>g</w:t>
      </w:r>
      <w:r w:rsidR="0024176C">
        <w:rPr>
          <w:rFonts w:ascii="Tahoma" w:hAnsi="Tahoma" w:cs="Tahoma"/>
          <w:bCs/>
          <w:sz w:val="20"/>
        </w:rPr>
        <w:t xml:space="preserve">)- </w:t>
      </w:r>
      <w:r>
        <w:rPr>
          <w:rFonts w:ascii="Tahoma" w:hAnsi="Tahoma" w:cs="Tahoma"/>
          <w:bCs/>
          <w:sz w:val="20"/>
        </w:rPr>
        <w:t>izgradnja ali rekonstrukcija javne ceste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3.2.3.1. razpisne dokumentacije</w:t>
      </w:r>
      <w:r>
        <w:rPr>
          <w:rFonts w:ascii="Tahoma" w:hAnsi="Tahoma" w:cs="Tahoma"/>
          <w:bCs/>
          <w:sz w:val="20"/>
        </w:rPr>
        <w:t xml:space="preserve">)  izpolni </w:t>
      </w:r>
      <w:r w:rsidRPr="009F2D87">
        <w:rPr>
          <w:rFonts w:ascii="Tahoma" w:hAnsi="Tahoma" w:cs="Tahoma"/>
          <w:bCs/>
          <w:sz w:val="20"/>
        </w:rPr>
        <w:t>pogoj z seštevkom največ treh</w:t>
      </w:r>
      <w:r>
        <w:rPr>
          <w:rFonts w:ascii="Tahoma" w:hAnsi="Tahoma" w:cs="Tahoma"/>
          <w:bCs/>
          <w:sz w:val="20"/>
        </w:rPr>
        <w:t xml:space="preserve"> (3)</w:t>
      </w:r>
      <w:r w:rsidRPr="009F2D87">
        <w:rPr>
          <w:rFonts w:ascii="Tahoma" w:hAnsi="Tahoma" w:cs="Tahoma"/>
          <w:bCs/>
          <w:sz w:val="20"/>
        </w:rPr>
        <w:t xml:space="preserve"> </w:t>
      </w:r>
      <w:r>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kot so predmet javnega naročila.</w:t>
      </w:r>
    </w:p>
    <w:p w14:paraId="0D203597" w14:textId="77777777" w:rsidR="00951688" w:rsidRDefault="00951688" w:rsidP="004C2BCD">
      <w:pPr>
        <w:keepNext/>
        <w:keepLines/>
        <w:tabs>
          <w:tab w:val="left" w:pos="8505"/>
        </w:tabs>
        <w:jc w:val="both"/>
        <w:rPr>
          <w:rFonts w:ascii="Tahoma" w:hAnsi="Tahoma" w:cs="Tahoma"/>
          <w:bCs/>
          <w:sz w:val="20"/>
        </w:rPr>
      </w:pPr>
    </w:p>
    <w:p w14:paraId="27B4AA2A" w14:textId="2EC55598" w:rsidR="00951688" w:rsidRDefault="00951688" w:rsidP="004C2BCD">
      <w:pPr>
        <w:keepNext/>
        <w:keepLines/>
        <w:tabs>
          <w:tab w:val="left" w:pos="8505"/>
        </w:tabs>
        <w:jc w:val="both"/>
        <w:rPr>
          <w:rFonts w:ascii="Tahoma" w:hAnsi="Tahoma" w:cs="Tahoma"/>
          <w:bCs/>
          <w:sz w:val="20"/>
        </w:rPr>
      </w:pPr>
      <w:r>
        <w:rPr>
          <w:rFonts w:ascii="Tahoma" w:hAnsi="Tahoma" w:cs="Tahoma"/>
          <w:bCs/>
          <w:sz w:val="20"/>
        </w:rPr>
        <w:t>Naročnik dodatno poj</w:t>
      </w:r>
      <w:r w:rsidR="001C3585">
        <w:rPr>
          <w:rFonts w:ascii="Tahoma" w:hAnsi="Tahoma" w:cs="Tahoma"/>
          <w:bCs/>
          <w:sz w:val="20"/>
        </w:rPr>
        <w:t>asnjuje, da lahko vodja gradnje:</w:t>
      </w:r>
    </w:p>
    <w:p w14:paraId="28BF8B38" w14:textId="04D5E2F4" w:rsidR="00951688" w:rsidRPr="004C2BCD" w:rsidRDefault="00951688" w:rsidP="004C2BCD">
      <w:pPr>
        <w:pStyle w:val="Odstavekseznama"/>
        <w:keepNext/>
        <w:keepLines/>
        <w:numPr>
          <w:ilvl w:val="0"/>
          <w:numId w:val="21"/>
        </w:numPr>
        <w:pBdr>
          <w:bottom w:val="single" w:sz="4" w:space="1" w:color="auto"/>
        </w:pBdr>
        <w:tabs>
          <w:tab w:val="left" w:pos="8505"/>
        </w:tabs>
        <w:jc w:val="both"/>
        <w:rPr>
          <w:rFonts w:ascii="Tahoma" w:hAnsi="Tahoma" w:cs="Tahoma"/>
          <w:bCs/>
          <w:sz w:val="20"/>
        </w:rPr>
      </w:pPr>
      <w:r>
        <w:rPr>
          <w:rFonts w:ascii="Tahoma" w:hAnsi="Tahoma" w:cs="Tahoma"/>
          <w:bCs/>
          <w:sz w:val="20"/>
        </w:rPr>
        <w:t>pri referenčnem pogoju</w:t>
      </w:r>
      <w:r w:rsidRPr="009F2D87">
        <w:rPr>
          <w:rFonts w:ascii="Tahoma" w:hAnsi="Tahoma" w:cs="Tahoma"/>
          <w:bCs/>
          <w:sz w:val="20"/>
        </w:rPr>
        <w:t xml:space="preserve"> </w:t>
      </w:r>
      <w:r w:rsidR="007E69D1">
        <w:rPr>
          <w:rFonts w:ascii="Tahoma" w:hAnsi="Tahoma" w:cs="Tahoma"/>
          <w:bCs/>
          <w:sz w:val="20"/>
        </w:rPr>
        <w:t>b)</w:t>
      </w:r>
      <w:r w:rsidR="0024176C">
        <w:rPr>
          <w:rFonts w:ascii="Tahoma" w:hAnsi="Tahoma" w:cs="Tahoma"/>
          <w:bCs/>
          <w:sz w:val="20"/>
        </w:rPr>
        <w:t>- vodovod in referenčnem</w:t>
      </w:r>
      <w:r w:rsidR="007E69D1">
        <w:rPr>
          <w:rFonts w:ascii="Tahoma" w:hAnsi="Tahoma" w:cs="Tahoma"/>
          <w:bCs/>
          <w:sz w:val="20"/>
        </w:rPr>
        <w:t xml:space="preserve"> </w:t>
      </w:r>
      <w:r w:rsidR="0024176C">
        <w:rPr>
          <w:rFonts w:ascii="Tahoma" w:hAnsi="Tahoma" w:cs="Tahoma"/>
          <w:bCs/>
          <w:sz w:val="20"/>
        </w:rPr>
        <w:t xml:space="preserve">pogoju </w:t>
      </w:r>
      <w:r>
        <w:rPr>
          <w:rFonts w:ascii="Tahoma" w:hAnsi="Tahoma" w:cs="Tahoma"/>
          <w:bCs/>
          <w:sz w:val="20"/>
        </w:rPr>
        <w:t>c</w:t>
      </w:r>
      <w:r w:rsidRPr="009F2D87">
        <w:rPr>
          <w:rFonts w:ascii="Tahoma" w:hAnsi="Tahoma" w:cs="Tahoma"/>
          <w:bCs/>
          <w:sz w:val="20"/>
        </w:rPr>
        <w:t>)</w:t>
      </w:r>
      <w:r w:rsidR="0024176C">
        <w:rPr>
          <w:rFonts w:ascii="Tahoma" w:hAnsi="Tahoma" w:cs="Tahoma"/>
          <w:bCs/>
          <w:sz w:val="20"/>
        </w:rPr>
        <w:t>-</w:t>
      </w:r>
      <w:r w:rsidRPr="009F2D87">
        <w:rPr>
          <w:rFonts w:ascii="Tahoma" w:hAnsi="Tahoma" w:cs="Tahoma"/>
          <w:bCs/>
          <w:sz w:val="20"/>
        </w:rPr>
        <w:t xml:space="preserve"> </w:t>
      </w:r>
      <w:r>
        <w:rPr>
          <w:rFonts w:ascii="Tahoma" w:hAnsi="Tahoma" w:cs="Tahoma"/>
          <w:bCs/>
          <w:sz w:val="20"/>
        </w:rPr>
        <w:t>plinovod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w:t>
      </w:r>
      <w:r>
        <w:rPr>
          <w:rFonts w:ascii="Tahoma" w:hAnsi="Tahoma" w:cs="Tahoma"/>
          <w:bCs/>
          <w:sz w:val="20"/>
        </w:rPr>
        <w:t>3</w:t>
      </w:r>
      <w:r w:rsidRPr="009F2D87">
        <w:rPr>
          <w:rFonts w:ascii="Tahoma" w:hAnsi="Tahoma" w:cs="Tahoma"/>
          <w:bCs/>
          <w:sz w:val="20"/>
        </w:rPr>
        <w:t>. razpisne dokumentacije</w:t>
      </w:r>
      <w:r>
        <w:rPr>
          <w:rFonts w:ascii="Tahoma" w:hAnsi="Tahoma" w:cs="Tahoma"/>
          <w:bCs/>
          <w:sz w:val="20"/>
        </w:rPr>
        <w:t>, podtočka a))  izpolni</w:t>
      </w:r>
      <w:r w:rsidRPr="009F2D87">
        <w:rPr>
          <w:rFonts w:ascii="Tahoma" w:hAnsi="Tahoma" w:cs="Tahoma"/>
          <w:bCs/>
          <w:sz w:val="20"/>
        </w:rPr>
        <w:t xml:space="preserve"> </w:t>
      </w:r>
      <w:r w:rsidR="0024176C">
        <w:rPr>
          <w:rFonts w:ascii="Tahoma" w:hAnsi="Tahoma" w:cs="Tahoma"/>
          <w:bCs/>
          <w:sz w:val="20"/>
        </w:rPr>
        <w:t xml:space="preserve">posamezni </w:t>
      </w:r>
      <w:r w:rsidRPr="009F2D87">
        <w:rPr>
          <w:rFonts w:ascii="Tahoma" w:hAnsi="Tahoma" w:cs="Tahoma"/>
          <w:bCs/>
          <w:sz w:val="20"/>
        </w:rPr>
        <w:t>pogoj z seštevkom največ treh</w:t>
      </w:r>
      <w:r>
        <w:rPr>
          <w:rFonts w:ascii="Tahoma" w:hAnsi="Tahoma" w:cs="Tahoma"/>
          <w:bCs/>
          <w:sz w:val="20"/>
        </w:rPr>
        <w:t xml:space="preserve"> (3)</w:t>
      </w:r>
      <w:r w:rsidRPr="009F2D87">
        <w:rPr>
          <w:rFonts w:ascii="Tahoma" w:hAnsi="Tahoma" w:cs="Tahoma"/>
          <w:bCs/>
          <w:sz w:val="20"/>
        </w:rPr>
        <w:t xml:space="preserve"> </w:t>
      </w:r>
      <w:r>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 xml:space="preserve">v </w:t>
      </w:r>
      <w:r w:rsidRPr="009F2D87">
        <w:rPr>
          <w:rFonts w:ascii="Tahoma" w:hAnsi="Tahoma" w:cs="Tahoma"/>
          <w:bCs/>
          <w:sz w:val="20"/>
        </w:rPr>
        <w:t>skupn</w:t>
      </w:r>
      <w:r>
        <w:rPr>
          <w:rFonts w:ascii="Tahoma" w:hAnsi="Tahoma" w:cs="Tahoma"/>
          <w:bCs/>
          <w:sz w:val="20"/>
        </w:rPr>
        <w:t>i</w:t>
      </w:r>
      <w:r w:rsidRPr="009F2D87">
        <w:rPr>
          <w:rFonts w:ascii="Tahoma" w:hAnsi="Tahoma" w:cs="Tahoma"/>
          <w:bCs/>
          <w:sz w:val="20"/>
        </w:rPr>
        <w:t xml:space="preserve"> dolžin</w:t>
      </w:r>
      <w:r>
        <w:rPr>
          <w:rFonts w:ascii="Tahoma" w:hAnsi="Tahoma" w:cs="Tahoma"/>
          <w:bCs/>
          <w:sz w:val="20"/>
        </w:rPr>
        <w:t>i</w:t>
      </w:r>
      <w:r w:rsidRPr="009F2D87">
        <w:rPr>
          <w:rFonts w:ascii="Tahoma" w:hAnsi="Tahoma" w:cs="Tahoma"/>
          <w:bCs/>
          <w:sz w:val="20"/>
        </w:rPr>
        <w:t xml:space="preserve"> </w:t>
      </w:r>
      <w:r>
        <w:rPr>
          <w:rFonts w:ascii="Tahoma" w:hAnsi="Tahoma" w:cs="Tahoma"/>
          <w:bCs/>
          <w:sz w:val="20"/>
        </w:rPr>
        <w:t>2,5 km.</w:t>
      </w:r>
    </w:p>
    <w:p w14:paraId="574CA6A1" w14:textId="77777777" w:rsidR="00951688" w:rsidRPr="00951688" w:rsidRDefault="00951688" w:rsidP="004C2BCD">
      <w:pPr>
        <w:keepNext/>
        <w:keepLines/>
        <w:tabs>
          <w:tab w:val="left" w:pos="8505"/>
        </w:tabs>
        <w:jc w:val="both"/>
        <w:rPr>
          <w:rFonts w:ascii="Tahoma" w:hAnsi="Tahoma" w:cs="Tahoma"/>
          <w:bCs/>
          <w:sz w:val="20"/>
        </w:rPr>
      </w:pPr>
    </w:p>
    <w:p w14:paraId="710748AF" w14:textId="77777777" w:rsidR="00482216" w:rsidRPr="007D1E0B" w:rsidRDefault="00482216"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3F7C587C" w14:textId="77777777" w:rsidR="005C2C33" w:rsidRPr="005C2C33" w:rsidRDefault="005C2C33" w:rsidP="004C2BCD">
      <w:pPr>
        <w:keepNext/>
        <w:keepLines/>
        <w:jc w:val="both"/>
        <w:rPr>
          <w:rFonts w:ascii="Tahoma" w:hAnsi="Tahoma" w:cs="Tahoma"/>
          <w:bCs/>
          <w:sz w:val="20"/>
        </w:rPr>
      </w:pPr>
      <w:r w:rsidRPr="005C2C33">
        <w:rPr>
          <w:rFonts w:ascii="Tahoma" w:hAnsi="Tahoma" w:cs="Tahoma"/>
          <w:bCs/>
          <w:sz w:val="20"/>
        </w:rPr>
        <w:t xml:space="preserve">Pozdravljeni, ali lahko priložimo tudi reference na drugih obrazcih in potrdilih, ki izkazujejo vse določene zahteve, kot jih zahteva vsebina referenčnih obrazcev v razpisni dokumentaciji? </w:t>
      </w:r>
    </w:p>
    <w:p w14:paraId="205B7114" w14:textId="77777777" w:rsidR="005C2C33" w:rsidRPr="007D1E0B" w:rsidRDefault="005C2C33" w:rsidP="004C2BCD">
      <w:pPr>
        <w:keepNext/>
        <w:keepLines/>
        <w:tabs>
          <w:tab w:val="left" w:pos="8505"/>
        </w:tabs>
        <w:jc w:val="both"/>
        <w:rPr>
          <w:rFonts w:ascii="Tahoma" w:hAnsi="Tahoma" w:cs="Tahoma"/>
          <w:color w:val="FF0000"/>
          <w:sz w:val="20"/>
        </w:rPr>
      </w:pPr>
    </w:p>
    <w:p w14:paraId="6F0DD28C" w14:textId="77777777" w:rsidR="00482216" w:rsidRPr="007D1E0B" w:rsidRDefault="00482216"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11FB31B0" w14:textId="39CAB930" w:rsidR="00086A4B" w:rsidRPr="007D1E0B" w:rsidRDefault="00086A4B" w:rsidP="004C2BCD">
      <w:pPr>
        <w:keepNext/>
        <w:keepLines/>
        <w:pBdr>
          <w:bottom w:val="single" w:sz="4" w:space="1" w:color="auto"/>
        </w:pBdr>
        <w:tabs>
          <w:tab w:val="left" w:pos="8505"/>
        </w:tabs>
        <w:jc w:val="both"/>
        <w:rPr>
          <w:rFonts w:ascii="Tahoma" w:hAnsi="Tahoma" w:cs="Tahoma"/>
          <w:color w:val="FF0000"/>
          <w:sz w:val="20"/>
        </w:rPr>
      </w:pPr>
      <w:r w:rsidRPr="00086A4B">
        <w:rPr>
          <w:rFonts w:ascii="Tahoma" w:hAnsi="Tahoma" w:cs="Tahoma"/>
          <w:bCs/>
          <w:sz w:val="20"/>
        </w:rPr>
        <w:t>Da, v kolikor so iz drugih obrazcev in potrdil razvidni vsi zahtevani podatki.</w:t>
      </w:r>
    </w:p>
    <w:p w14:paraId="39DE2A2C" w14:textId="77777777" w:rsidR="004C2BCD" w:rsidRDefault="004C2BCD" w:rsidP="004C2BCD">
      <w:pPr>
        <w:keepNext/>
        <w:keepLines/>
        <w:tabs>
          <w:tab w:val="left" w:pos="8505"/>
        </w:tabs>
        <w:jc w:val="both"/>
        <w:rPr>
          <w:rFonts w:ascii="Tahoma" w:hAnsi="Tahoma" w:cs="Tahoma"/>
          <w:color w:val="FF0000"/>
          <w:sz w:val="20"/>
        </w:rPr>
      </w:pPr>
    </w:p>
    <w:p w14:paraId="6CADED13" w14:textId="047FE76E" w:rsidR="00C91A50" w:rsidRPr="007D1E0B" w:rsidRDefault="00C91A50"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676CECB0" w14:textId="77777777" w:rsidR="005C2C33" w:rsidRDefault="005C2C33" w:rsidP="004C2BCD">
      <w:pPr>
        <w:keepNext/>
        <w:keepLines/>
        <w:jc w:val="both"/>
        <w:rPr>
          <w:rFonts w:ascii="Tahoma" w:hAnsi="Tahoma" w:cs="Tahoma"/>
          <w:bCs/>
          <w:sz w:val="20"/>
        </w:rPr>
      </w:pPr>
      <w:r>
        <w:rPr>
          <w:rFonts w:ascii="Tahoma" w:hAnsi="Tahoma" w:cs="Tahoma"/>
          <w:bCs/>
          <w:sz w:val="20"/>
        </w:rPr>
        <w:t xml:space="preserve">Spoštovani! </w:t>
      </w:r>
      <w:r w:rsidRPr="005C2C33">
        <w:rPr>
          <w:rFonts w:ascii="Tahoma" w:hAnsi="Tahoma" w:cs="Tahoma"/>
          <w:bCs/>
          <w:sz w:val="20"/>
        </w:rPr>
        <w:t xml:space="preserve">v razpisni dokumentaciji ste določili, da imamo ponudniki, oz. vsi partnerji v skupini, tekočo bonitetno oceno izdano s strani AJPES najmanj SB5. </w:t>
      </w:r>
    </w:p>
    <w:p w14:paraId="58C118D7" w14:textId="77777777" w:rsidR="005C2C33" w:rsidRDefault="005C2C33" w:rsidP="004C2BCD">
      <w:pPr>
        <w:keepNext/>
        <w:keepLines/>
        <w:jc w:val="both"/>
        <w:rPr>
          <w:rFonts w:ascii="Tahoma" w:hAnsi="Tahoma" w:cs="Tahoma"/>
          <w:bCs/>
          <w:sz w:val="20"/>
        </w:rPr>
      </w:pPr>
      <w:r w:rsidRPr="005C2C33">
        <w:rPr>
          <w:rFonts w:ascii="Tahoma" w:hAnsi="Tahoma" w:cs="Tahoma"/>
          <w:bCs/>
          <w:sz w:val="20"/>
        </w:rPr>
        <w:br/>
        <w:t xml:space="preserve">Naročnika pozivamo, da navedeni pogoj omili na način, da dopusti bonitetno oceno SB6. Postavljeni pogoj SB5 je namreč v nasprotju z načelom zagotavljanja konkurence in načelom sorazmernosti, naročnik pa je z njim zahteval za dve stopnji boljšo bonitetno oceno, (tako SB5 kot SB6 sta nadpovprečni oceni) kot je povprečna ocena glede na celotni trg (to je SB7). Kot izhaja iz pojasnila AJPES glede bonitetnih ocen (javno dostopni podatki na spletni strani AJPES), bonitetna ocena SB7 pomeni, da je zmožnost podjetja za poravnavanje svojih obveznosti POVPREČNA. Zahtevana bonitetna ocena je tudi v neskladju s prakso Državne revizijske komisije in povprečno zahtevano oceno v gradbeni dejavnosti celo pri bolj zahtevnih projektih. Prav tako je potrebno izpostaviti dejstvo, da bonitetna ocena ne odraža realnega dejanskega stanja ponudnika v času oddaje javnega naročila, saj se določa glede na poslovanje preteklega leta. Bistvene razlike med zahtevano bonitetno oceno SB5 in predlagano bonitetno oceno SB6 ni, saj je pri obeh ocenah zmožnost podjetja za poravnavanje obveznosti NADPOVPREČNA. </w:t>
      </w:r>
    </w:p>
    <w:p w14:paraId="02E2E872" w14:textId="676F60DD" w:rsidR="005C2C33" w:rsidRDefault="005C2C33" w:rsidP="004C2BCD">
      <w:pPr>
        <w:keepNext/>
        <w:keepLines/>
        <w:jc w:val="both"/>
        <w:rPr>
          <w:rFonts w:ascii="Tahoma" w:hAnsi="Tahoma" w:cs="Tahoma"/>
          <w:bCs/>
          <w:sz w:val="20"/>
        </w:rPr>
      </w:pPr>
      <w:r w:rsidRPr="005C2C33">
        <w:rPr>
          <w:rFonts w:ascii="Tahoma" w:hAnsi="Tahoma" w:cs="Tahoma"/>
          <w:bCs/>
          <w:sz w:val="20"/>
        </w:rPr>
        <w:lastRenderedPageBreak/>
        <w:t>Naročnik bi z znižanjem zahtevane bonitetne ocene na SB6 pridobil širši krog konkurence ter posledično sledil načelu gospodarnosti pri javnem naročanju, ki se tiče porabe javnih sredstev.</w:t>
      </w:r>
    </w:p>
    <w:p w14:paraId="55FC05F3" w14:textId="77777777" w:rsidR="005C2C33" w:rsidRDefault="005C2C33" w:rsidP="004C2BCD">
      <w:pPr>
        <w:keepNext/>
        <w:keepLines/>
        <w:jc w:val="both"/>
        <w:rPr>
          <w:rFonts w:ascii="Tahoma" w:hAnsi="Tahoma" w:cs="Tahoma"/>
          <w:bCs/>
          <w:sz w:val="20"/>
        </w:rPr>
      </w:pPr>
      <w:r w:rsidRPr="005C2C33">
        <w:rPr>
          <w:rFonts w:ascii="Tahoma" w:hAnsi="Tahoma" w:cs="Tahoma"/>
          <w:bCs/>
          <w:sz w:val="20"/>
        </w:rPr>
        <w:br/>
        <w:t>Naročnika pozivamo za upoštevanje zgoraj navedenega predloga. Hkrati vas pozivamo, da temu sorazmerno spremenite tudi zahteve za bonitetne ocene drugih bonitetnih hiš, hkrati s % drugih b. hiš, ki niso navedene in izkazujejo izpolnjevanje pogoja.</w:t>
      </w:r>
    </w:p>
    <w:p w14:paraId="407D1F62" w14:textId="77777777" w:rsidR="005C2C33" w:rsidRPr="005C2C33" w:rsidRDefault="005C2C33" w:rsidP="004C2BCD">
      <w:pPr>
        <w:keepNext/>
        <w:keepLines/>
        <w:jc w:val="both"/>
        <w:rPr>
          <w:rFonts w:ascii="Tahoma" w:hAnsi="Tahoma" w:cs="Tahoma"/>
          <w:bCs/>
          <w:sz w:val="20"/>
        </w:rPr>
      </w:pPr>
      <w:r>
        <w:rPr>
          <w:rFonts w:ascii="Tahoma" w:hAnsi="Tahoma" w:cs="Tahoma"/>
          <w:bCs/>
          <w:sz w:val="20"/>
        </w:rPr>
        <w:t xml:space="preserve"> </w:t>
      </w:r>
      <w:r w:rsidRPr="005C2C33">
        <w:rPr>
          <w:rFonts w:ascii="Tahoma" w:hAnsi="Tahoma" w:cs="Tahoma"/>
          <w:bCs/>
          <w:sz w:val="20"/>
        </w:rPr>
        <w:br/>
        <w:t>Hvala!</w:t>
      </w:r>
    </w:p>
    <w:p w14:paraId="1B29D6DC" w14:textId="77777777" w:rsidR="005C2C33" w:rsidRDefault="005C2C33" w:rsidP="004C2BCD">
      <w:pPr>
        <w:keepNext/>
        <w:keepLines/>
        <w:tabs>
          <w:tab w:val="left" w:pos="8505"/>
        </w:tabs>
        <w:jc w:val="both"/>
        <w:rPr>
          <w:rFonts w:ascii="Tahoma" w:hAnsi="Tahoma" w:cs="Tahoma"/>
          <w:color w:val="00B050"/>
          <w:sz w:val="20"/>
        </w:rPr>
      </w:pPr>
    </w:p>
    <w:p w14:paraId="2F246ABF" w14:textId="77777777" w:rsidR="00C91A50" w:rsidRPr="007D1E0B" w:rsidRDefault="00C91A50"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4D6E5011" w14:textId="5BC225E9" w:rsidR="0023671E" w:rsidRDefault="00086A4B" w:rsidP="004C2BCD">
      <w:pPr>
        <w:keepNext/>
        <w:keepLines/>
        <w:tabs>
          <w:tab w:val="left" w:pos="8505"/>
        </w:tabs>
        <w:jc w:val="both"/>
        <w:rPr>
          <w:rFonts w:ascii="Tahoma" w:hAnsi="Tahoma" w:cs="Tahoma"/>
          <w:bCs/>
          <w:sz w:val="20"/>
        </w:rPr>
      </w:pPr>
      <w:r w:rsidRPr="00086A4B">
        <w:rPr>
          <w:rFonts w:ascii="Tahoma" w:hAnsi="Tahoma" w:cs="Tahoma"/>
          <w:bCs/>
          <w:sz w:val="20"/>
        </w:rPr>
        <w:t xml:space="preserve">Naročnik zahtevane bonitetne ocene ne bo </w:t>
      </w:r>
      <w:r w:rsidR="0024176C">
        <w:rPr>
          <w:rFonts w:ascii="Tahoma" w:hAnsi="Tahoma" w:cs="Tahoma"/>
          <w:bCs/>
          <w:sz w:val="20"/>
        </w:rPr>
        <w:t>spreminjal.</w:t>
      </w:r>
      <w:r w:rsidR="004C2BCD">
        <w:rPr>
          <w:rFonts w:ascii="Tahoma" w:hAnsi="Tahoma" w:cs="Tahoma"/>
          <w:bCs/>
          <w:sz w:val="20"/>
        </w:rPr>
        <w:t xml:space="preserve"> </w:t>
      </w:r>
      <w:r w:rsidR="0023671E">
        <w:rPr>
          <w:rFonts w:ascii="Tahoma" w:hAnsi="Tahoma" w:cs="Tahoma"/>
          <w:bCs/>
          <w:sz w:val="20"/>
        </w:rPr>
        <w:t xml:space="preserve">Naročnik se z navedbo ponudnika, da bistvene razlike med </w:t>
      </w:r>
      <w:r w:rsidR="0023671E" w:rsidRPr="005C2C33">
        <w:rPr>
          <w:rFonts w:ascii="Tahoma" w:hAnsi="Tahoma" w:cs="Tahoma"/>
          <w:bCs/>
          <w:sz w:val="20"/>
        </w:rPr>
        <w:t>zahtevano bonitetno oceno SB5 in predlagano bonitetno oceno SB6</w:t>
      </w:r>
      <w:r w:rsidR="0023671E">
        <w:rPr>
          <w:rFonts w:ascii="Tahoma" w:hAnsi="Tahoma" w:cs="Tahoma"/>
          <w:bCs/>
          <w:sz w:val="20"/>
        </w:rPr>
        <w:t xml:space="preserve"> ni, ne strinja. </w:t>
      </w:r>
    </w:p>
    <w:p w14:paraId="61476D86" w14:textId="53651F37" w:rsidR="0023671E" w:rsidRDefault="0023671E" w:rsidP="004C2BCD">
      <w:pPr>
        <w:keepNext/>
        <w:keepLines/>
        <w:tabs>
          <w:tab w:val="left" w:pos="8505"/>
        </w:tabs>
        <w:jc w:val="both"/>
        <w:rPr>
          <w:rFonts w:ascii="Tahoma" w:hAnsi="Tahoma" w:cs="Tahoma"/>
          <w:bCs/>
          <w:sz w:val="20"/>
        </w:rPr>
      </w:pPr>
    </w:p>
    <w:p w14:paraId="3DA610CF" w14:textId="6AE373EC" w:rsidR="0023671E" w:rsidRPr="0023671E" w:rsidRDefault="0023671E" w:rsidP="004C2BCD">
      <w:pPr>
        <w:keepNext/>
        <w:keepLines/>
        <w:tabs>
          <w:tab w:val="left" w:pos="8505"/>
        </w:tabs>
        <w:jc w:val="both"/>
        <w:rPr>
          <w:rFonts w:ascii="Tahoma" w:hAnsi="Tahoma" w:cs="Tahoma"/>
          <w:bCs/>
          <w:sz w:val="20"/>
        </w:rPr>
      </w:pPr>
      <w:r w:rsidRPr="0023671E">
        <w:rPr>
          <w:rFonts w:ascii="Tahoma" w:hAnsi="Tahoma" w:cs="Tahoma"/>
          <w:bCs/>
          <w:sz w:val="20"/>
        </w:rPr>
        <w:t>Za subjekte, ki so ocenjeni z bonitetno oceno SB5, veljajo naslednje značilnosti:</w:t>
      </w:r>
    </w:p>
    <w:p w14:paraId="26DFA36D" w14:textId="0D17F482" w:rsidR="0023671E" w:rsidRDefault="0023671E" w:rsidP="004C2BCD">
      <w:pPr>
        <w:keepNext/>
        <w:keepLines/>
        <w:tabs>
          <w:tab w:val="left" w:pos="8505"/>
        </w:tabs>
        <w:jc w:val="both"/>
        <w:rPr>
          <w:rFonts w:ascii="Tahoma" w:hAnsi="Tahoma" w:cs="Tahoma"/>
          <w:bCs/>
          <w:sz w:val="20"/>
        </w:rPr>
      </w:pPr>
      <w:r w:rsidRPr="0023671E">
        <w:rPr>
          <w:rFonts w:ascii="Tahoma" w:hAnsi="Tahoma" w:cs="Tahoma"/>
          <w:bCs/>
          <w:sz w:val="20"/>
        </w:rPr>
        <w:t>»Zmožnost poslovnega subjekta za poravnavanje obveznosti je nadpovprečna, a nižja kot v četrtem bonitetnem razredu. Zaostritev razmer v poslovnem okolju ali nastop drugih nepredvidljivih dogodkov lahko pripelje poslovni subjekt v položaj, ko ne bo sposoben poravnavati svojih obveznosti. Subjekt z bonitetno oceno SB5 dosega takšne vrednosti kazalnikov, ki odražajo dejavnike tveganja za nastop dogodka neplačila, da je modelsko ocenjena verjetnost nastopa dogodka neplačila nižja kot v povprečju za vse slovenske poslovne subjekte«.</w:t>
      </w:r>
    </w:p>
    <w:p w14:paraId="6B0BCC55" w14:textId="521FDA9D" w:rsidR="0023671E" w:rsidRDefault="0023671E" w:rsidP="004C2BCD">
      <w:pPr>
        <w:keepNext/>
        <w:keepLines/>
        <w:tabs>
          <w:tab w:val="left" w:pos="8505"/>
        </w:tabs>
        <w:jc w:val="both"/>
        <w:rPr>
          <w:rFonts w:ascii="Tahoma" w:hAnsi="Tahoma" w:cs="Tahoma"/>
          <w:bCs/>
          <w:sz w:val="20"/>
        </w:rPr>
      </w:pPr>
    </w:p>
    <w:p w14:paraId="7A545925" w14:textId="60C4A025" w:rsidR="0023671E" w:rsidRPr="0023671E" w:rsidRDefault="0023671E" w:rsidP="004C2BCD">
      <w:pPr>
        <w:keepNext/>
        <w:keepLines/>
        <w:tabs>
          <w:tab w:val="left" w:pos="8505"/>
        </w:tabs>
        <w:jc w:val="both"/>
        <w:rPr>
          <w:rFonts w:ascii="Tahoma" w:hAnsi="Tahoma" w:cs="Tahoma"/>
          <w:bCs/>
          <w:sz w:val="20"/>
        </w:rPr>
      </w:pPr>
      <w:r w:rsidRPr="0023671E">
        <w:rPr>
          <w:rFonts w:ascii="Tahoma" w:hAnsi="Tahoma" w:cs="Tahoma"/>
          <w:bCs/>
          <w:sz w:val="20"/>
        </w:rPr>
        <w:t>Za subjekte, ki so ocenjeni z bonitetno oceno SB</w:t>
      </w:r>
      <w:r>
        <w:rPr>
          <w:rFonts w:ascii="Tahoma" w:hAnsi="Tahoma" w:cs="Tahoma"/>
          <w:bCs/>
          <w:sz w:val="20"/>
        </w:rPr>
        <w:t>6</w:t>
      </w:r>
      <w:r w:rsidRPr="0023671E">
        <w:rPr>
          <w:rFonts w:ascii="Tahoma" w:hAnsi="Tahoma" w:cs="Tahoma"/>
          <w:bCs/>
          <w:sz w:val="20"/>
        </w:rPr>
        <w:t>, veljajo naslednje značilnosti:</w:t>
      </w:r>
    </w:p>
    <w:p w14:paraId="24469D65" w14:textId="345C0825" w:rsidR="0023671E" w:rsidRDefault="0023671E" w:rsidP="004C2BCD">
      <w:pPr>
        <w:keepNext/>
        <w:keepLines/>
        <w:tabs>
          <w:tab w:val="left" w:pos="8505"/>
        </w:tabs>
        <w:jc w:val="both"/>
        <w:rPr>
          <w:rFonts w:ascii="Tahoma" w:hAnsi="Tahoma" w:cs="Tahoma"/>
          <w:bCs/>
          <w:sz w:val="20"/>
        </w:rPr>
      </w:pPr>
      <w:r w:rsidRPr="0023671E">
        <w:rPr>
          <w:rFonts w:ascii="Tahoma" w:hAnsi="Tahoma" w:cs="Tahoma"/>
          <w:bCs/>
          <w:sz w:val="20"/>
        </w:rPr>
        <w:t xml:space="preserve">»Zmožnost poslovnega subjekta za poravnavanje obveznosti je </w:t>
      </w:r>
      <w:r>
        <w:rPr>
          <w:rFonts w:ascii="Tahoma" w:hAnsi="Tahoma" w:cs="Tahoma"/>
          <w:bCs/>
          <w:sz w:val="20"/>
        </w:rPr>
        <w:t xml:space="preserve">še vedno </w:t>
      </w:r>
      <w:r w:rsidRPr="0023671E">
        <w:rPr>
          <w:rFonts w:ascii="Tahoma" w:hAnsi="Tahoma" w:cs="Tahoma"/>
          <w:bCs/>
          <w:sz w:val="20"/>
        </w:rPr>
        <w:t xml:space="preserve">nadpovprečna, a </w:t>
      </w:r>
      <w:r>
        <w:rPr>
          <w:rFonts w:ascii="Tahoma" w:hAnsi="Tahoma" w:cs="Tahoma"/>
          <w:bCs/>
          <w:sz w:val="20"/>
        </w:rPr>
        <w:t>je zaradi eksponentnega naraščanja verjetno neplačila po bonitetnih razredih približno 60-im odstotkom vseh slovenskih družb pripisana višja bonitetna ocena</w:t>
      </w:r>
      <w:r w:rsidRPr="0023671E">
        <w:rPr>
          <w:rFonts w:ascii="Tahoma" w:hAnsi="Tahoma" w:cs="Tahoma"/>
          <w:bCs/>
          <w:sz w:val="20"/>
        </w:rPr>
        <w:t xml:space="preserve">. </w:t>
      </w:r>
      <w:r>
        <w:rPr>
          <w:rFonts w:ascii="Tahoma" w:hAnsi="Tahoma" w:cs="Tahoma"/>
          <w:bCs/>
          <w:sz w:val="20"/>
        </w:rPr>
        <w:t xml:space="preserve">Družba je ob normalnih tržnih razmerah še vedno sposobna poravnavati svoje obveznosti, a je močno občutljiva na razmere v poslovnem okolju. Poslabšanje splošnega makroekonomskega okolja ali razmer v panogi lahko pripelje družbo v položaj, ko ne bo sposobna poravnavati svojih obveznosti. </w:t>
      </w:r>
      <w:r w:rsidRPr="0023671E">
        <w:rPr>
          <w:rFonts w:ascii="Tahoma" w:hAnsi="Tahoma" w:cs="Tahoma"/>
          <w:bCs/>
          <w:sz w:val="20"/>
        </w:rPr>
        <w:t>Subjekt z bonitetno oceno SB</w:t>
      </w:r>
      <w:r>
        <w:rPr>
          <w:rFonts w:ascii="Tahoma" w:hAnsi="Tahoma" w:cs="Tahoma"/>
          <w:bCs/>
          <w:sz w:val="20"/>
        </w:rPr>
        <w:t>6</w:t>
      </w:r>
      <w:r w:rsidRPr="0023671E">
        <w:rPr>
          <w:rFonts w:ascii="Tahoma" w:hAnsi="Tahoma" w:cs="Tahoma"/>
          <w:bCs/>
          <w:sz w:val="20"/>
        </w:rPr>
        <w:t xml:space="preserve"> dosega takšne vrednosti kazalnikov, ki odražajo dejavnike tveganja za nastop dogodka neplačila, da je modelsko ocenjena verjetnost nastopa dogodka neplačila</w:t>
      </w:r>
      <w:r>
        <w:rPr>
          <w:rFonts w:ascii="Tahoma" w:hAnsi="Tahoma" w:cs="Tahoma"/>
          <w:bCs/>
          <w:sz w:val="20"/>
        </w:rPr>
        <w:t xml:space="preserve"> še vedno</w:t>
      </w:r>
      <w:r w:rsidRPr="0023671E">
        <w:rPr>
          <w:rFonts w:ascii="Tahoma" w:hAnsi="Tahoma" w:cs="Tahoma"/>
          <w:bCs/>
          <w:sz w:val="20"/>
        </w:rPr>
        <w:t xml:space="preserve"> nižja kot v povprečju za vse slovenske </w:t>
      </w:r>
      <w:r>
        <w:rPr>
          <w:rFonts w:ascii="Tahoma" w:hAnsi="Tahoma" w:cs="Tahoma"/>
          <w:bCs/>
          <w:sz w:val="20"/>
        </w:rPr>
        <w:t>družbe, a zaradi eksponentnega naraščanja pomembno višja kot v petem bonitetnem razredu</w:t>
      </w:r>
      <w:r w:rsidRPr="0023671E">
        <w:rPr>
          <w:rFonts w:ascii="Tahoma" w:hAnsi="Tahoma" w:cs="Tahoma"/>
          <w:bCs/>
          <w:sz w:val="20"/>
        </w:rPr>
        <w:t>«.</w:t>
      </w:r>
    </w:p>
    <w:p w14:paraId="49B141F7" w14:textId="0215BCED" w:rsidR="0023671E" w:rsidRDefault="0023671E" w:rsidP="004C2BCD">
      <w:pPr>
        <w:keepNext/>
        <w:keepLines/>
        <w:tabs>
          <w:tab w:val="left" w:pos="8505"/>
        </w:tabs>
        <w:jc w:val="both"/>
        <w:rPr>
          <w:rFonts w:ascii="Tahoma" w:hAnsi="Tahoma" w:cs="Tahoma"/>
          <w:bCs/>
          <w:sz w:val="20"/>
        </w:rPr>
      </w:pPr>
    </w:p>
    <w:p w14:paraId="2681128B" w14:textId="25DB446E" w:rsidR="0023671E" w:rsidRDefault="0023671E" w:rsidP="004C2BCD">
      <w:pPr>
        <w:keepNext/>
        <w:keepLines/>
        <w:tabs>
          <w:tab w:val="left" w:pos="8505"/>
        </w:tabs>
        <w:jc w:val="both"/>
        <w:rPr>
          <w:rFonts w:ascii="Tahoma" w:hAnsi="Tahoma" w:cs="Tahoma"/>
          <w:bCs/>
          <w:sz w:val="20"/>
        </w:rPr>
      </w:pPr>
      <w:r w:rsidRPr="0023671E">
        <w:rPr>
          <w:rFonts w:ascii="Tahoma" w:hAnsi="Tahoma" w:cs="Tahoma"/>
          <w:bCs/>
          <w:sz w:val="20"/>
        </w:rPr>
        <w:t>Na podlagi navedenega je razvidno, da med bonitetnima ocenama SB</w:t>
      </w:r>
      <w:r>
        <w:rPr>
          <w:rFonts w:ascii="Tahoma" w:hAnsi="Tahoma" w:cs="Tahoma"/>
          <w:bCs/>
          <w:sz w:val="20"/>
        </w:rPr>
        <w:t>5</w:t>
      </w:r>
      <w:r w:rsidRPr="0023671E">
        <w:rPr>
          <w:rFonts w:ascii="Tahoma" w:hAnsi="Tahoma" w:cs="Tahoma"/>
          <w:bCs/>
          <w:sz w:val="20"/>
        </w:rPr>
        <w:t xml:space="preserve"> in SB</w:t>
      </w:r>
      <w:r>
        <w:rPr>
          <w:rFonts w:ascii="Tahoma" w:hAnsi="Tahoma" w:cs="Tahoma"/>
          <w:bCs/>
          <w:sz w:val="20"/>
        </w:rPr>
        <w:t>6</w:t>
      </w:r>
      <w:r w:rsidRPr="0023671E">
        <w:rPr>
          <w:rFonts w:ascii="Tahoma" w:hAnsi="Tahoma" w:cs="Tahoma"/>
          <w:bCs/>
          <w:sz w:val="20"/>
        </w:rPr>
        <w:t xml:space="preserve"> (ali slabše) obstajajo razlike, ki jih je naročnik v konkretnem primeru upravičen upoštevati pri določitvi vrednostnega pragu oziroma višini bonitetne ocene. Čeprav je tako pri gospodarskem subjektu z bonitetno oceno SB</w:t>
      </w:r>
      <w:r>
        <w:rPr>
          <w:rFonts w:ascii="Tahoma" w:hAnsi="Tahoma" w:cs="Tahoma"/>
          <w:bCs/>
          <w:sz w:val="20"/>
        </w:rPr>
        <w:t>5</w:t>
      </w:r>
      <w:r w:rsidRPr="0023671E">
        <w:rPr>
          <w:rFonts w:ascii="Tahoma" w:hAnsi="Tahoma" w:cs="Tahoma"/>
          <w:bCs/>
          <w:sz w:val="20"/>
        </w:rPr>
        <w:t xml:space="preserve"> kot pri gospodarskem subjektu z bonitetno oceno SB</w:t>
      </w:r>
      <w:r>
        <w:rPr>
          <w:rFonts w:ascii="Tahoma" w:hAnsi="Tahoma" w:cs="Tahoma"/>
          <w:bCs/>
          <w:sz w:val="20"/>
        </w:rPr>
        <w:t>6</w:t>
      </w:r>
      <w:r w:rsidRPr="0023671E">
        <w:rPr>
          <w:rFonts w:ascii="Tahoma" w:hAnsi="Tahoma" w:cs="Tahoma"/>
          <w:bCs/>
          <w:sz w:val="20"/>
        </w:rPr>
        <w:t xml:space="preserve"> verjetnost neplačila nižja od povprečja, pa se izpostavljena subjekta razlikujeta v tem, da je verjetnost neplačila pri gospodarskem subjektu z bonitetno oceno SB</w:t>
      </w:r>
      <w:r>
        <w:rPr>
          <w:rFonts w:ascii="Tahoma" w:hAnsi="Tahoma" w:cs="Tahoma"/>
          <w:bCs/>
          <w:sz w:val="20"/>
        </w:rPr>
        <w:t>6</w:t>
      </w:r>
      <w:r w:rsidRPr="0023671E">
        <w:rPr>
          <w:rFonts w:ascii="Tahoma" w:hAnsi="Tahoma" w:cs="Tahoma"/>
          <w:bCs/>
          <w:sz w:val="20"/>
        </w:rPr>
        <w:t xml:space="preserve"> višja kot pri gospodarskem subjektu z bonitetno oceno SB</w:t>
      </w:r>
      <w:r>
        <w:rPr>
          <w:rFonts w:ascii="Tahoma" w:hAnsi="Tahoma" w:cs="Tahoma"/>
          <w:bCs/>
          <w:sz w:val="20"/>
        </w:rPr>
        <w:t>5</w:t>
      </w:r>
      <w:r w:rsidRPr="0023671E">
        <w:rPr>
          <w:rFonts w:ascii="Tahoma" w:hAnsi="Tahoma" w:cs="Tahoma"/>
          <w:bCs/>
          <w:sz w:val="20"/>
        </w:rPr>
        <w:t>, ker lahko zaostritev gospodarskih razmer oz. nastop nepredvidljivih dogodkov vpliva na sposobnost poravnavanja obveznosti gospodarskega subjekta z bonitetno oceno SB</w:t>
      </w:r>
      <w:r>
        <w:rPr>
          <w:rFonts w:ascii="Tahoma" w:hAnsi="Tahoma" w:cs="Tahoma"/>
          <w:bCs/>
          <w:sz w:val="20"/>
        </w:rPr>
        <w:t>6</w:t>
      </w:r>
      <w:r w:rsidRPr="0023671E">
        <w:rPr>
          <w:rFonts w:ascii="Tahoma" w:hAnsi="Tahoma" w:cs="Tahoma"/>
          <w:bCs/>
          <w:sz w:val="20"/>
        </w:rPr>
        <w:t>. To pomeni, da so gospodarski subjekti z bonitetno oceno SB</w:t>
      </w:r>
      <w:r>
        <w:rPr>
          <w:rFonts w:ascii="Tahoma" w:hAnsi="Tahoma" w:cs="Tahoma"/>
          <w:bCs/>
          <w:sz w:val="20"/>
        </w:rPr>
        <w:t>5</w:t>
      </w:r>
      <w:r w:rsidRPr="0023671E">
        <w:rPr>
          <w:rFonts w:ascii="Tahoma" w:hAnsi="Tahoma" w:cs="Tahoma"/>
          <w:bCs/>
          <w:sz w:val="20"/>
        </w:rPr>
        <w:t xml:space="preserve"> manj izpostavljeni zaostritvi gospodarskih razmer kot gospodarski subjekti z bonitetno oceno SB</w:t>
      </w:r>
      <w:r>
        <w:rPr>
          <w:rFonts w:ascii="Tahoma" w:hAnsi="Tahoma" w:cs="Tahoma"/>
          <w:bCs/>
          <w:sz w:val="20"/>
        </w:rPr>
        <w:t>6</w:t>
      </w:r>
      <w:r w:rsidRPr="0023671E">
        <w:rPr>
          <w:rFonts w:ascii="Tahoma" w:hAnsi="Tahoma" w:cs="Tahoma"/>
          <w:bCs/>
          <w:sz w:val="20"/>
        </w:rPr>
        <w:t xml:space="preserve"> (ali slabše). </w:t>
      </w:r>
    </w:p>
    <w:p w14:paraId="67DD0826" w14:textId="77777777" w:rsidR="00F94BBF" w:rsidRDefault="00F94BBF" w:rsidP="004C2BCD">
      <w:pPr>
        <w:keepNext/>
        <w:keepLines/>
        <w:tabs>
          <w:tab w:val="left" w:pos="8505"/>
        </w:tabs>
        <w:jc w:val="both"/>
        <w:rPr>
          <w:rFonts w:ascii="Tahoma" w:hAnsi="Tahoma" w:cs="Tahoma"/>
          <w:bCs/>
          <w:sz w:val="20"/>
        </w:rPr>
      </w:pPr>
    </w:p>
    <w:p w14:paraId="1D490DFF" w14:textId="54475144" w:rsidR="00086A4B" w:rsidRPr="004C2BCD" w:rsidRDefault="00827506" w:rsidP="004C2BCD">
      <w:pPr>
        <w:keepNext/>
        <w:keepLines/>
        <w:pBdr>
          <w:bottom w:val="single" w:sz="4" w:space="1" w:color="auto"/>
        </w:pBdr>
        <w:tabs>
          <w:tab w:val="left" w:pos="8505"/>
        </w:tabs>
        <w:jc w:val="both"/>
        <w:rPr>
          <w:rFonts w:ascii="Tahoma" w:hAnsi="Tahoma" w:cs="Tahoma"/>
          <w:bCs/>
          <w:sz w:val="20"/>
        </w:rPr>
      </w:pPr>
      <w:r>
        <w:rPr>
          <w:rFonts w:ascii="Tahoma" w:hAnsi="Tahoma" w:cs="Tahoma"/>
          <w:bCs/>
          <w:sz w:val="20"/>
        </w:rPr>
        <w:t>Kakršnakoli slabša situacija na trgu, kot npr. t</w:t>
      </w:r>
      <w:r w:rsidR="0023671E" w:rsidRPr="0023671E">
        <w:rPr>
          <w:rFonts w:ascii="Tahoma" w:hAnsi="Tahoma" w:cs="Tahoma"/>
          <w:bCs/>
          <w:sz w:val="20"/>
        </w:rPr>
        <w:t xml:space="preserve">renutna situacija, povezana s COVID-19, </w:t>
      </w:r>
      <w:r w:rsidR="0023671E">
        <w:rPr>
          <w:rFonts w:ascii="Tahoma" w:hAnsi="Tahoma" w:cs="Tahoma"/>
          <w:bCs/>
          <w:sz w:val="20"/>
        </w:rPr>
        <w:t xml:space="preserve">bi lahko </w:t>
      </w:r>
      <w:r>
        <w:rPr>
          <w:rFonts w:ascii="Tahoma" w:hAnsi="Tahoma" w:cs="Tahoma"/>
          <w:bCs/>
          <w:sz w:val="20"/>
        </w:rPr>
        <w:t xml:space="preserve">še bolj </w:t>
      </w:r>
      <w:r w:rsidR="0023671E" w:rsidRPr="0023671E">
        <w:rPr>
          <w:rFonts w:ascii="Tahoma" w:hAnsi="Tahoma" w:cs="Tahoma"/>
          <w:bCs/>
          <w:sz w:val="20"/>
        </w:rPr>
        <w:t>zaostrila razmere na trgu. Takšna zaostritev razmer na trgu oz. druge nepredvidljive okoliščine bi tako manj vplivale na gospodarske subjekte z (zahtevano) bonitetno oceno SB</w:t>
      </w:r>
      <w:r w:rsidR="0023671E">
        <w:rPr>
          <w:rFonts w:ascii="Tahoma" w:hAnsi="Tahoma" w:cs="Tahoma"/>
          <w:bCs/>
          <w:sz w:val="20"/>
        </w:rPr>
        <w:t>5</w:t>
      </w:r>
      <w:r w:rsidR="0023671E" w:rsidRPr="0023671E">
        <w:rPr>
          <w:rFonts w:ascii="Tahoma" w:hAnsi="Tahoma" w:cs="Tahoma"/>
          <w:bCs/>
          <w:sz w:val="20"/>
        </w:rPr>
        <w:t xml:space="preserve"> (ali boljše), kot na gospodarske subjekte z bonitetno oceno SB</w:t>
      </w:r>
      <w:r w:rsidR="0023671E">
        <w:rPr>
          <w:rFonts w:ascii="Tahoma" w:hAnsi="Tahoma" w:cs="Tahoma"/>
          <w:bCs/>
          <w:sz w:val="20"/>
        </w:rPr>
        <w:t xml:space="preserve">6 </w:t>
      </w:r>
      <w:r w:rsidR="0023671E" w:rsidRPr="0023671E">
        <w:rPr>
          <w:rFonts w:ascii="Tahoma" w:hAnsi="Tahoma" w:cs="Tahoma"/>
          <w:bCs/>
          <w:sz w:val="20"/>
        </w:rPr>
        <w:t>ali slabše. Pri slednjih (za razliko od gospodarskega subjekta z bonitetno oceno SB</w:t>
      </w:r>
      <w:r w:rsidR="0023671E">
        <w:rPr>
          <w:rFonts w:ascii="Tahoma" w:hAnsi="Tahoma" w:cs="Tahoma"/>
          <w:bCs/>
          <w:sz w:val="20"/>
        </w:rPr>
        <w:t>5</w:t>
      </w:r>
      <w:r w:rsidR="0023671E" w:rsidRPr="0023671E">
        <w:rPr>
          <w:rFonts w:ascii="Tahoma" w:hAnsi="Tahoma" w:cs="Tahoma"/>
          <w:bCs/>
          <w:sz w:val="20"/>
        </w:rPr>
        <w:t>) bi lahko namreč zaostritev razmer na trgu povzročila, da ti ne bi bili sposobni poravnavati svojih obveznosti, kar pa bi lahko vpliv</w:t>
      </w:r>
      <w:r w:rsidR="00F94BBF">
        <w:rPr>
          <w:rFonts w:ascii="Tahoma" w:hAnsi="Tahoma" w:cs="Tahoma"/>
          <w:bCs/>
          <w:sz w:val="20"/>
        </w:rPr>
        <w:t>alo na izvedbo javnega naročila</w:t>
      </w:r>
      <w:r w:rsidR="00F41DF6">
        <w:rPr>
          <w:rFonts w:ascii="Tahoma" w:hAnsi="Tahoma" w:cs="Tahoma"/>
          <w:bCs/>
          <w:sz w:val="20"/>
        </w:rPr>
        <w:t>.</w:t>
      </w:r>
      <w:r w:rsidR="0023671E" w:rsidRPr="0023671E">
        <w:rPr>
          <w:rFonts w:ascii="Tahoma" w:hAnsi="Tahoma" w:cs="Tahoma"/>
          <w:bCs/>
          <w:sz w:val="20"/>
        </w:rPr>
        <w:t xml:space="preserve"> Morebitna insolventnost izvajalca (oz. nastanek položaja, ko izvajalec ne bi bil sposoben poravnati svojih obveznosti) predstavlja tveganje</w:t>
      </w:r>
      <w:r w:rsidR="00F41DF6">
        <w:rPr>
          <w:rFonts w:ascii="Tahoma" w:hAnsi="Tahoma" w:cs="Tahoma"/>
          <w:bCs/>
          <w:sz w:val="20"/>
        </w:rPr>
        <w:t xml:space="preserve"> za pravočasno izvedbo projekta</w:t>
      </w:r>
      <w:r w:rsidR="0023671E" w:rsidRPr="0023671E">
        <w:rPr>
          <w:rFonts w:ascii="Tahoma" w:hAnsi="Tahoma" w:cs="Tahoma"/>
          <w:bCs/>
          <w:sz w:val="20"/>
        </w:rPr>
        <w:t>.</w:t>
      </w:r>
    </w:p>
    <w:p w14:paraId="19E20617" w14:textId="77777777" w:rsidR="0024176C" w:rsidRDefault="0024176C" w:rsidP="004C2BCD">
      <w:pPr>
        <w:keepNext/>
        <w:keepLines/>
        <w:tabs>
          <w:tab w:val="left" w:pos="8505"/>
        </w:tabs>
        <w:jc w:val="both"/>
        <w:rPr>
          <w:rFonts w:ascii="Tahoma" w:hAnsi="Tahoma" w:cs="Tahoma"/>
          <w:color w:val="FF0000"/>
          <w:sz w:val="20"/>
        </w:rPr>
      </w:pPr>
    </w:p>
    <w:p w14:paraId="5234987D" w14:textId="77777777" w:rsidR="004C2BCD" w:rsidRDefault="004C2BCD" w:rsidP="004C2BCD">
      <w:pPr>
        <w:keepNext/>
        <w:keepLines/>
        <w:tabs>
          <w:tab w:val="left" w:pos="8505"/>
        </w:tabs>
        <w:spacing w:after="120"/>
        <w:jc w:val="both"/>
        <w:rPr>
          <w:rFonts w:ascii="Tahoma" w:hAnsi="Tahoma" w:cs="Tahoma"/>
          <w:color w:val="FF0000"/>
          <w:sz w:val="20"/>
        </w:rPr>
      </w:pPr>
    </w:p>
    <w:p w14:paraId="4F240E79" w14:textId="77777777" w:rsidR="004C2BCD" w:rsidRDefault="004C2BCD" w:rsidP="004C2BCD">
      <w:pPr>
        <w:keepNext/>
        <w:keepLines/>
        <w:tabs>
          <w:tab w:val="left" w:pos="8505"/>
        </w:tabs>
        <w:spacing w:after="120"/>
        <w:jc w:val="both"/>
        <w:rPr>
          <w:rFonts w:ascii="Tahoma" w:hAnsi="Tahoma" w:cs="Tahoma"/>
          <w:color w:val="FF0000"/>
          <w:sz w:val="20"/>
        </w:rPr>
      </w:pPr>
    </w:p>
    <w:p w14:paraId="16AA9E3F" w14:textId="61133529" w:rsidR="00C91A50" w:rsidRPr="007D1E0B" w:rsidRDefault="00C91A50"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lastRenderedPageBreak/>
        <w:t>VPRAŠANJE:</w:t>
      </w:r>
    </w:p>
    <w:p w14:paraId="2A85899D" w14:textId="77777777" w:rsidR="005C2C33" w:rsidRDefault="005C2C33" w:rsidP="004C2BCD">
      <w:pPr>
        <w:keepNext/>
        <w:keepLines/>
        <w:jc w:val="both"/>
        <w:rPr>
          <w:rFonts w:ascii="Tahoma" w:hAnsi="Tahoma" w:cs="Tahoma"/>
          <w:bCs/>
          <w:sz w:val="20"/>
        </w:rPr>
      </w:pPr>
      <w:r>
        <w:rPr>
          <w:rFonts w:ascii="Tahoma" w:hAnsi="Tahoma" w:cs="Tahoma"/>
          <w:bCs/>
          <w:sz w:val="20"/>
        </w:rPr>
        <w:t xml:space="preserve">Spoštovani, </w:t>
      </w:r>
      <w:r w:rsidR="00C91A50" w:rsidRPr="005C2C33">
        <w:rPr>
          <w:rFonts w:ascii="Tahoma" w:hAnsi="Tahoma" w:cs="Tahoma"/>
          <w:bCs/>
          <w:sz w:val="20"/>
        </w:rPr>
        <w:t xml:space="preserve">V točki 3.2.3.3. Ključno osebje, ste za vse zahtevane strokovnjake (vodjo gradnje, vodjo del in vodjo del električnih inštalacij) določili pogoj, da morajo, v primeru, da niso državljani RS, na dan prijave izkazati aktivno znanje slovenskega jezika. </w:t>
      </w:r>
    </w:p>
    <w:p w14:paraId="5FFD24C0" w14:textId="5D026ABD" w:rsidR="005C2C33" w:rsidRDefault="00C91A50" w:rsidP="004C2BCD">
      <w:pPr>
        <w:keepNext/>
        <w:keepLines/>
        <w:jc w:val="both"/>
        <w:rPr>
          <w:rFonts w:ascii="Tahoma" w:hAnsi="Tahoma" w:cs="Tahoma"/>
          <w:bCs/>
          <w:sz w:val="20"/>
        </w:rPr>
      </w:pPr>
      <w:r w:rsidRPr="005C2C33">
        <w:rPr>
          <w:rFonts w:ascii="Tahoma" w:hAnsi="Tahoma" w:cs="Tahoma"/>
          <w:bCs/>
          <w:sz w:val="20"/>
        </w:rPr>
        <w:br/>
        <w:t xml:space="preserve">Naročnik za postavitev takšnega pogoja nima nikakršnih utemeljenih razlogov, niti podlage v veljavnih predpisih. Za dela, ki jih izvajajo vodje gradnje in ostali kadri, znanje slovenskega jezika ni potrebno, še posebej pa ni nujno oziroma objektivno utemeljeno. </w:t>
      </w:r>
    </w:p>
    <w:p w14:paraId="0D77B5FD" w14:textId="77777777" w:rsidR="005C2C33" w:rsidRDefault="00C91A50" w:rsidP="004C2BCD">
      <w:pPr>
        <w:keepNext/>
        <w:keepLines/>
        <w:jc w:val="both"/>
        <w:rPr>
          <w:rFonts w:ascii="Tahoma" w:hAnsi="Tahoma" w:cs="Tahoma"/>
          <w:bCs/>
          <w:sz w:val="20"/>
        </w:rPr>
      </w:pPr>
      <w:r w:rsidRPr="005C2C33">
        <w:rPr>
          <w:rFonts w:ascii="Tahoma" w:hAnsi="Tahoma" w:cs="Tahoma"/>
          <w:bCs/>
          <w:sz w:val="20"/>
        </w:rPr>
        <w:br/>
        <w:t xml:space="preserve">Pogoj naročnika, vezan na znanje slovenskega jezika je nezakonit in </w:t>
      </w:r>
      <w:proofErr w:type="spellStart"/>
      <w:r w:rsidRPr="005C2C33">
        <w:rPr>
          <w:rFonts w:ascii="Tahoma" w:hAnsi="Tahoma" w:cs="Tahoma"/>
          <w:bCs/>
          <w:sz w:val="20"/>
        </w:rPr>
        <w:t>diskriminatoren</w:t>
      </w:r>
      <w:proofErr w:type="spellEnd"/>
      <w:r w:rsidRPr="005C2C33">
        <w:rPr>
          <w:rFonts w:ascii="Tahoma" w:hAnsi="Tahoma" w:cs="Tahoma"/>
          <w:bCs/>
          <w:sz w:val="20"/>
        </w:rPr>
        <w:t xml:space="preserve"> in v izrecnem nasprotju z načelom enakopravne obravnave ponudnikov (7. člen ZJN-3), načelom sorazmernosti (8. člen ZJN-3) in načelom zagotavljanja konkurence med ponudniki (5. člen ZJN-3). Pogoj, vezan na znanje slovenskega jezika je tudi v nasprotju z veljavno zakonodajo v Republiki Sloveniji in Evropski uniji in predstavlja neposredno kršitev pravil pogodbe Skupnosti, nenazadnje pa tudi določil svetovne trgovinske organizacije glede svobodne trgovine in storitev.</w:t>
      </w:r>
    </w:p>
    <w:p w14:paraId="448D7564" w14:textId="77777777" w:rsidR="005C2C33" w:rsidRDefault="005C2C33" w:rsidP="004C2BCD">
      <w:pPr>
        <w:keepNext/>
        <w:keepLines/>
        <w:jc w:val="both"/>
        <w:rPr>
          <w:rFonts w:ascii="Tahoma" w:hAnsi="Tahoma" w:cs="Tahoma"/>
          <w:bCs/>
          <w:sz w:val="20"/>
        </w:rPr>
      </w:pPr>
      <w:r>
        <w:rPr>
          <w:rFonts w:ascii="Tahoma" w:hAnsi="Tahoma" w:cs="Tahoma"/>
          <w:bCs/>
          <w:sz w:val="20"/>
        </w:rPr>
        <w:t xml:space="preserve"> </w:t>
      </w:r>
      <w:r w:rsidR="00C91A50" w:rsidRPr="005C2C33">
        <w:rPr>
          <w:rFonts w:ascii="Tahoma" w:hAnsi="Tahoma" w:cs="Tahoma"/>
          <w:bCs/>
          <w:sz w:val="20"/>
        </w:rPr>
        <w:br/>
        <w:t xml:space="preserve">Pogoj, vezan na znanje slovenskega jezika neutemeljeno izkrivlja konkurenco, saj daje neupravičeno prednost družbam, ki so registrirane v RS, preostale ponudnike pa nezakonito diskriminira. Nadalje je pogoj naročnika, vezan na znanje slovenskega jezika, nesorazmeren, saj ni povezan s predmetom javnega naročila, znanje slovenskega jezika pa hkrati ni povezano s strokovnostjo vodij del. </w:t>
      </w:r>
    </w:p>
    <w:p w14:paraId="01DD45F0" w14:textId="77777777" w:rsidR="005C2C33" w:rsidRDefault="00C91A50" w:rsidP="004C2BCD">
      <w:pPr>
        <w:keepNext/>
        <w:keepLines/>
        <w:jc w:val="both"/>
        <w:rPr>
          <w:rFonts w:ascii="Tahoma" w:hAnsi="Tahoma" w:cs="Tahoma"/>
          <w:bCs/>
          <w:sz w:val="20"/>
        </w:rPr>
      </w:pPr>
      <w:r w:rsidRPr="005C2C33">
        <w:rPr>
          <w:rFonts w:ascii="Tahoma" w:hAnsi="Tahoma" w:cs="Tahoma"/>
          <w:bCs/>
          <w:sz w:val="20"/>
        </w:rPr>
        <w:br/>
        <w:t xml:space="preserve">Pogoj po znanju slovenskega jezika v konkretnem primeru predstavlja tudi kršitev Pogodbe o delovanju Evropske unije (Uradni list EU, št. C 83/2010), po kateri notranji trg zajema območje brez notranjih meja, na katerem je zagotovljen prost pretok blaga, oseb, storitev in kapitala (drugi odstavek 26. člena omenjene pogodbe), pa tudi z ureditvijo, razvojem in izvajanjem sistema javnega naročanja, ki mora temeljiti na načelu prostega pretoka blaga, načelu svobode ustanavljanja, načelu prostega pretoka storitev in na načelih gospodarnosti, učinkovitosti in uspešnosti, zagotavljanja konkurence med ponudniki, transparentnosti javnega naročanja, enakopravne obravnave ponudnikov in sorazmernosti (7. in 8. člen ZJN-3). </w:t>
      </w:r>
    </w:p>
    <w:p w14:paraId="20D0BC0A" w14:textId="77777777" w:rsidR="005C2C33" w:rsidRDefault="00C91A50" w:rsidP="004C2BCD">
      <w:pPr>
        <w:keepNext/>
        <w:keepLines/>
        <w:jc w:val="both"/>
        <w:rPr>
          <w:rFonts w:ascii="Tahoma" w:hAnsi="Tahoma" w:cs="Tahoma"/>
          <w:bCs/>
          <w:sz w:val="20"/>
        </w:rPr>
      </w:pPr>
      <w:r w:rsidRPr="005C2C33">
        <w:rPr>
          <w:rFonts w:ascii="Tahoma" w:hAnsi="Tahoma" w:cs="Tahoma"/>
          <w:bCs/>
          <w:sz w:val="20"/>
        </w:rPr>
        <w:br/>
        <w:t xml:space="preserve">Poleg tega nobeden od veljavnih predpisov v Republiki Sloveniji, ki urejajo znanje slovenskega jezika (Zakon o postopku priznavanja poklicnih kvalifikacij za opravljanje reguliranih poklicev (ZPPPK; Uradni list RS, št. 39/16) za odgovornega vodjo del oziroma odgovornega vodjo posameznih del ne predpisuje znanja slovenskega jezika, kaj šele stopnje znanja jezika (najmanj stopnje B2), ki ga zahteva naročnik. </w:t>
      </w:r>
    </w:p>
    <w:p w14:paraId="02CA99CA" w14:textId="77777777" w:rsidR="005C2C33" w:rsidRDefault="00C91A50" w:rsidP="004C2BCD">
      <w:pPr>
        <w:keepNext/>
        <w:keepLines/>
        <w:jc w:val="both"/>
        <w:rPr>
          <w:rFonts w:ascii="Tahoma" w:hAnsi="Tahoma" w:cs="Tahoma"/>
          <w:bCs/>
          <w:sz w:val="20"/>
        </w:rPr>
      </w:pPr>
      <w:r w:rsidRPr="005C2C33">
        <w:rPr>
          <w:rFonts w:ascii="Tahoma" w:hAnsi="Tahoma" w:cs="Tahoma"/>
          <w:bCs/>
          <w:sz w:val="20"/>
        </w:rPr>
        <w:br/>
        <w:t>Naročnik nima nikakršnih utemeljenih razlogov, na podlagi katerih bi lahko od ponudnikov zahteval, da za navedeni kader dokazujejo znanje slovenskega jezika, na podlagi navedenega pa za takšen pogoj nima niti zakonske podlage, zato naročnik z navedenim pogojem neutemeljeno omejuje konkurenco, in neupravičeno privilegira družbe s sedežem v RS.</w:t>
      </w:r>
    </w:p>
    <w:p w14:paraId="317A8FCF" w14:textId="77777777" w:rsidR="005C2C33" w:rsidRDefault="005C2C33" w:rsidP="004C2BCD">
      <w:pPr>
        <w:keepNext/>
        <w:keepLines/>
        <w:jc w:val="both"/>
        <w:rPr>
          <w:rFonts w:ascii="Tahoma" w:hAnsi="Tahoma" w:cs="Tahoma"/>
          <w:bCs/>
          <w:sz w:val="20"/>
        </w:rPr>
      </w:pPr>
      <w:r>
        <w:rPr>
          <w:rFonts w:ascii="Tahoma" w:hAnsi="Tahoma" w:cs="Tahoma"/>
          <w:bCs/>
          <w:sz w:val="20"/>
        </w:rPr>
        <w:t xml:space="preserve"> </w:t>
      </w:r>
      <w:r w:rsidR="00C91A50" w:rsidRPr="005C2C33">
        <w:rPr>
          <w:rFonts w:ascii="Tahoma" w:hAnsi="Tahoma" w:cs="Tahoma"/>
          <w:bCs/>
          <w:sz w:val="20"/>
        </w:rPr>
        <w:br/>
        <w:t>Skladno z navedenim naročnika pozivamo, da pogoj, vezan na znanje slovenskega jezika, umakne. V nasprotnem primeru bomo primorani vložiti revizijski zahtevek.</w:t>
      </w:r>
    </w:p>
    <w:p w14:paraId="45EBBF3C" w14:textId="77777777" w:rsidR="005C2C33" w:rsidRDefault="005C2C33" w:rsidP="004C2BCD">
      <w:pPr>
        <w:keepNext/>
        <w:keepLines/>
        <w:jc w:val="both"/>
        <w:rPr>
          <w:rFonts w:ascii="Tahoma" w:hAnsi="Tahoma" w:cs="Tahoma"/>
          <w:bCs/>
          <w:sz w:val="20"/>
        </w:rPr>
      </w:pPr>
      <w:r>
        <w:rPr>
          <w:rFonts w:ascii="Tahoma" w:hAnsi="Tahoma" w:cs="Tahoma"/>
          <w:bCs/>
          <w:sz w:val="20"/>
        </w:rPr>
        <w:t xml:space="preserve"> </w:t>
      </w:r>
      <w:r w:rsidR="00C91A50" w:rsidRPr="005C2C33">
        <w:rPr>
          <w:rFonts w:ascii="Tahoma" w:hAnsi="Tahoma" w:cs="Tahoma"/>
          <w:bCs/>
          <w:sz w:val="20"/>
        </w:rPr>
        <w:br/>
        <w:t>Lahko pa zahtevate, da v kolikor tehnično osebje in strokovni kadri izvajalca ne govorijo tekoče slovenskega jezika, mora izvajalec zagotoviti, da bo tudi na gradbišču v času izvajanja del na razpolago usposobljen prevajalec.</w:t>
      </w:r>
      <w:r w:rsidR="00C91A50" w:rsidRPr="005C2C33">
        <w:rPr>
          <w:rFonts w:ascii="Tahoma" w:hAnsi="Tahoma" w:cs="Tahoma"/>
          <w:bCs/>
          <w:sz w:val="20"/>
        </w:rPr>
        <w:br/>
      </w:r>
      <w:r w:rsidR="00C91A50" w:rsidRPr="005C2C33">
        <w:rPr>
          <w:rFonts w:ascii="Tahoma" w:hAnsi="Tahoma" w:cs="Tahoma"/>
          <w:bCs/>
          <w:sz w:val="20"/>
        </w:rPr>
        <w:br/>
        <w:t>Lep pozdrav!</w:t>
      </w:r>
    </w:p>
    <w:p w14:paraId="001432C6" w14:textId="284046DC" w:rsidR="00C91A50" w:rsidRDefault="00C91A50" w:rsidP="004C2BCD">
      <w:pPr>
        <w:keepNext/>
        <w:keepLines/>
        <w:jc w:val="both"/>
        <w:rPr>
          <w:rFonts w:ascii="Tahoma" w:hAnsi="Tahoma" w:cs="Tahoma"/>
          <w:color w:val="FF0000"/>
          <w:sz w:val="20"/>
        </w:rPr>
      </w:pPr>
    </w:p>
    <w:p w14:paraId="44EB2217" w14:textId="63651D90" w:rsidR="00827506" w:rsidRDefault="00827506" w:rsidP="004C2BCD">
      <w:pPr>
        <w:keepNext/>
        <w:keepLines/>
        <w:jc w:val="both"/>
        <w:rPr>
          <w:rFonts w:ascii="Tahoma" w:hAnsi="Tahoma" w:cs="Tahoma"/>
          <w:color w:val="FF0000"/>
          <w:sz w:val="20"/>
        </w:rPr>
      </w:pPr>
    </w:p>
    <w:p w14:paraId="392C047D" w14:textId="40BEC43A" w:rsidR="00827506" w:rsidRDefault="00827506" w:rsidP="004C2BCD">
      <w:pPr>
        <w:keepNext/>
        <w:keepLines/>
        <w:jc w:val="both"/>
        <w:rPr>
          <w:rFonts w:ascii="Tahoma" w:hAnsi="Tahoma" w:cs="Tahoma"/>
          <w:color w:val="FF0000"/>
          <w:sz w:val="20"/>
        </w:rPr>
      </w:pPr>
    </w:p>
    <w:p w14:paraId="717ABD09" w14:textId="5987B02A" w:rsidR="00827506" w:rsidRDefault="00827506" w:rsidP="004C2BCD">
      <w:pPr>
        <w:keepNext/>
        <w:keepLines/>
        <w:jc w:val="both"/>
        <w:rPr>
          <w:rFonts w:ascii="Tahoma" w:hAnsi="Tahoma" w:cs="Tahoma"/>
          <w:color w:val="FF0000"/>
          <w:sz w:val="20"/>
        </w:rPr>
      </w:pPr>
    </w:p>
    <w:p w14:paraId="457E2C53" w14:textId="1C462573" w:rsidR="00827506" w:rsidRDefault="00827506" w:rsidP="004C2BCD">
      <w:pPr>
        <w:keepNext/>
        <w:keepLines/>
        <w:jc w:val="both"/>
        <w:rPr>
          <w:rFonts w:ascii="Tahoma" w:hAnsi="Tahoma" w:cs="Tahoma"/>
          <w:color w:val="FF0000"/>
          <w:sz w:val="20"/>
        </w:rPr>
      </w:pPr>
    </w:p>
    <w:p w14:paraId="4A177B60" w14:textId="378D65EF" w:rsidR="00827506" w:rsidRDefault="00827506" w:rsidP="004C2BCD">
      <w:pPr>
        <w:keepNext/>
        <w:keepLines/>
        <w:jc w:val="both"/>
        <w:rPr>
          <w:rFonts w:ascii="Tahoma" w:hAnsi="Tahoma" w:cs="Tahoma"/>
          <w:color w:val="FF0000"/>
          <w:sz w:val="20"/>
        </w:rPr>
      </w:pPr>
    </w:p>
    <w:p w14:paraId="468C555F" w14:textId="4348A24E" w:rsidR="00827506" w:rsidRDefault="00827506" w:rsidP="004C2BCD">
      <w:pPr>
        <w:keepNext/>
        <w:keepLines/>
        <w:jc w:val="both"/>
        <w:rPr>
          <w:rFonts w:ascii="Tahoma" w:hAnsi="Tahoma" w:cs="Tahoma"/>
          <w:color w:val="FF0000"/>
          <w:sz w:val="20"/>
        </w:rPr>
      </w:pPr>
    </w:p>
    <w:p w14:paraId="54876692" w14:textId="77777777" w:rsidR="00827506" w:rsidRPr="007D1E0B" w:rsidRDefault="00827506" w:rsidP="004C2BCD">
      <w:pPr>
        <w:keepNext/>
        <w:keepLines/>
        <w:jc w:val="both"/>
        <w:rPr>
          <w:rFonts w:ascii="Tahoma" w:hAnsi="Tahoma" w:cs="Tahoma"/>
          <w:color w:val="FF0000"/>
          <w:sz w:val="20"/>
        </w:rPr>
      </w:pPr>
    </w:p>
    <w:p w14:paraId="21EC7E78" w14:textId="77777777" w:rsidR="00C91A50" w:rsidRPr="007D1E0B" w:rsidRDefault="00C91A50"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lastRenderedPageBreak/>
        <w:t>ODGOVOR:</w:t>
      </w:r>
    </w:p>
    <w:p w14:paraId="08BC7F57" w14:textId="6EC46E00" w:rsidR="00EA1F92" w:rsidRPr="00EA1F92" w:rsidRDefault="00EA1F92" w:rsidP="004C2BCD">
      <w:pPr>
        <w:keepNext/>
        <w:keepLines/>
        <w:tabs>
          <w:tab w:val="left" w:pos="8505"/>
        </w:tabs>
        <w:jc w:val="both"/>
        <w:rPr>
          <w:rFonts w:ascii="Tahoma" w:hAnsi="Tahoma" w:cs="Tahoma"/>
          <w:bCs/>
          <w:sz w:val="20"/>
        </w:rPr>
      </w:pPr>
      <w:r w:rsidRPr="0024176C">
        <w:rPr>
          <w:rFonts w:ascii="Tahoma" w:hAnsi="Tahoma" w:cs="Tahoma"/>
          <w:bCs/>
          <w:sz w:val="20"/>
        </w:rPr>
        <w:t xml:space="preserve">Zahteva, da </w:t>
      </w:r>
      <w:r w:rsidR="0035130B" w:rsidRPr="0024176C">
        <w:rPr>
          <w:rFonts w:ascii="Tahoma" w:hAnsi="Tahoma" w:cs="Tahoma"/>
          <w:bCs/>
          <w:sz w:val="20"/>
        </w:rPr>
        <w:t>ključno osebje</w:t>
      </w:r>
      <w:r w:rsidRPr="0024176C">
        <w:rPr>
          <w:rFonts w:ascii="Tahoma" w:hAnsi="Tahoma" w:cs="Tahoma"/>
          <w:bCs/>
          <w:sz w:val="20"/>
        </w:rPr>
        <w:t xml:space="preserve"> aktivno govori slovenski jezik je utemeljena in nujno potrebna iz operativnih razlogov, saj je pri izvedbi naročila ključen strokovni kader (zagotavljanje hitrega in učinkovitega ukrepanja ter dinamične komunikacije na dnevni bazi, uporaba strokovne terminologije</w:t>
      </w:r>
      <w:r w:rsidR="0024176C" w:rsidRPr="0024176C">
        <w:rPr>
          <w:rFonts w:ascii="Tahoma" w:hAnsi="Tahoma" w:cs="Tahoma"/>
          <w:bCs/>
          <w:sz w:val="20"/>
        </w:rPr>
        <w:t>, podpisovanje in potrditev dokumentacije v slovenskem jeziku,</w:t>
      </w:r>
      <w:r w:rsidRPr="0024176C">
        <w:rPr>
          <w:rFonts w:ascii="Tahoma" w:hAnsi="Tahoma" w:cs="Tahoma"/>
          <w:bCs/>
          <w:sz w:val="20"/>
        </w:rPr>
        <w:t xml:space="preserve"> ipd.). </w:t>
      </w:r>
      <w:r w:rsidR="0035130B" w:rsidRPr="0024176C">
        <w:rPr>
          <w:rFonts w:ascii="Tahoma" w:hAnsi="Tahoma" w:cs="Tahoma"/>
          <w:bCs/>
          <w:sz w:val="20"/>
        </w:rPr>
        <w:t>Ključno osebje</w:t>
      </w:r>
      <w:r w:rsidRPr="0024176C">
        <w:rPr>
          <w:rFonts w:ascii="Tahoma" w:hAnsi="Tahoma" w:cs="Tahoma"/>
          <w:bCs/>
          <w:sz w:val="20"/>
        </w:rPr>
        <w:t xml:space="preserve"> bo sodeloval</w:t>
      </w:r>
      <w:r w:rsidR="0035130B" w:rsidRPr="0024176C">
        <w:rPr>
          <w:rFonts w:ascii="Tahoma" w:hAnsi="Tahoma" w:cs="Tahoma"/>
          <w:bCs/>
          <w:sz w:val="20"/>
        </w:rPr>
        <w:t>o</w:t>
      </w:r>
      <w:r w:rsidRPr="0024176C">
        <w:rPr>
          <w:rFonts w:ascii="Tahoma" w:hAnsi="Tahoma" w:cs="Tahoma"/>
          <w:bCs/>
          <w:sz w:val="20"/>
        </w:rPr>
        <w:t xml:space="preserve"> z naročnikom, lokal</w:t>
      </w:r>
      <w:r w:rsidR="0035130B" w:rsidRPr="0024176C">
        <w:rPr>
          <w:rFonts w:ascii="Tahoma" w:hAnsi="Tahoma" w:cs="Tahoma"/>
          <w:bCs/>
          <w:sz w:val="20"/>
        </w:rPr>
        <w:t>no skupnostjo</w:t>
      </w:r>
      <w:r w:rsidR="0024176C" w:rsidRPr="0024176C">
        <w:rPr>
          <w:rFonts w:ascii="Tahoma" w:hAnsi="Tahoma" w:cs="Tahoma"/>
          <w:bCs/>
          <w:sz w:val="20"/>
        </w:rPr>
        <w:t xml:space="preserve">, … </w:t>
      </w:r>
      <w:r w:rsidR="0035130B" w:rsidRPr="0024176C">
        <w:rPr>
          <w:rFonts w:ascii="Tahoma" w:hAnsi="Tahoma" w:cs="Tahoma"/>
          <w:bCs/>
          <w:sz w:val="20"/>
        </w:rPr>
        <w:t>ter</w:t>
      </w:r>
      <w:r w:rsidRPr="0024176C">
        <w:rPr>
          <w:rFonts w:ascii="Tahoma" w:hAnsi="Tahoma" w:cs="Tahoma"/>
          <w:bCs/>
          <w:sz w:val="20"/>
        </w:rPr>
        <w:t xml:space="preserve"> mora</w:t>
      </w:r>
      <w:r w:rsidR="0035130B" w:rsidRPr="0024176C">
        <w:rPr>
          <w:rFonts w:ascii="Tahoma" w:hAnsi="Tahoma" w:cs="Tahoma"/>
          <w:bCs/>
          <w:sz w:val="20"/>
        </w:rPr>
        <w:t xml:space="preserve"> biti v vsakem trenutku sposobno</w:t>
      </w:r>
      <w:r w:rsidRPr="0024176C">
        <w:rPr>
          <w:rFonts w:ascii="Tahoma" w:hAnsi="Tahoma" w:cs="Tahoma"/>
          <w:bCs/>
          <w:sz w:val="20"/>
        </w:rPr>
        <w:t xml:space="preserve"> za usklajevanja in za podajo pojasnil, prav tako mora biti sposoben jasno razumeti pogoje </w:t>
      </w:r>
      <w:r w:rsidR="0024176C" w:rsidRPr="0024176C">
        <w:rPr>
          <w:rFonts w:ascii="Tahoma" w:hAnsi="Tahoma" w:cs="Tahoma"/>
          <w:bCs/>
          <w:sz w:val="20"/>
        </w:rPr>
        <w:t>vseh</w:t>
      </w:r>
      <w:r w:rsidRPr="0024176C">
        <w:rPr>
          <w:rFonts w:ascii="Tahoma" w:hAnsi="Tahoma" w:cs="Tahoma"/>
          <w:bCs/>
          <w:sz w:val="20"/>
        </w:rPr>
        <w:t xml:space="preserve"> deležnikov. Ne nazadnje je tudi čas, ki je potreben za usklajevanje, neprimerno daljši, v kolikor se le-ta izvaja ob pomoči tolmača, takšen način je dražji, poleg tega pa tolmačenje posameznih zahtev in predlogov lahko zaradi prevodov v tuji jezik in nazaj povzroči tako imenovan »šum v komunikaciji«.</w:t>
      </w:r>
    </w:p>
    <w:p w14:paraId="426DE121" w14:textId="77777777" w:rsidR="00EA1F92" w:rsidRPr="00EA1F92" w:rsidRDefault="00EA1F92" w:rsidP="004C2BCD">
      <w:pPr>
        <w:keepNext/>
        <w:keepLines/>
        <w:tabs>
          <w:tab w:val="left" w:pos="8505"/>
        </w:tabs>
        <w:jc w:val="both"/>
        <w:rPr>
          <w:rFonts w:ascii="Tahoma" w:hAnsi="Tahoma" w:cs="Tahoma"/>
          <w:bCs/>
          <w:sz w:val="20"/>
        </w:rPr>
      </w:pPr>
    </w:p>
    <w:p w14:paraId="731C7A01" w14:textId="7C4324DE" w:rsidR="00322F75" w:rsidRPr="0024176C" w:rsidRDefault="00EA1F92" w:rsidP="004C2BCD">
      <w:pPr>
        <w:keepNext/>
        <w:keepLines/>
        <w:pBdr>
          <w:bottom w:val="single" w:sz="4" w:space="1" w:color="auto"/>
        </w:pBdr>
        <w:tabs>
          <w:tab w:val="left" w:pos="8505"/>
        </w:tabs>
        <w:jc w:val="both"/>
        <w:rPr>
          <w:rFonts w:ascii="Tahoma" w:hAnsi="Tahoma" w:cs="Tahoma"/>
          <w:bCs/>
          <w:sz w:val="20"/>
        </w:rPr>
      </w:pPr>
      <w:r w:rsidRPr="00EA1F92">
        <w:rPr>
          <w:rFonts w:ascii="Tahoma" w:hAnsi="Tahoma" w:cs="Tahoma"/>
          <w:bCs/>
          <w:sz w:val="20"/>
        </w:rPr>
        <w:t>Prav iz naštetih razlogov sporaz</w:t>
      </w:r>
      <w:r w:rsidR="0024176C">
        <w:rPr>
          <w:rFonts w:ascii="Tahoma" w:hAnsi="Tahoma" w:cs="Tahoma"/>
          <w:bCs/>
          <w:sz w:val="20"/>
        </w:rPr>
        <w:t>umevanje po tolmaču ni primerno, zato naročnik vztraja pri svoji zahtevi.</w:t>
      </w:r>
    </w:p>
    <w:p w14:paraId="16B0536D" w14:textId="77777777" w:rsidR="00827506" w:rsidRDefault="00827506" w:rsidP="00827506">
      <w:pPr>
        <w:keepNext/>
        <w:keepLines/>
        <w:tabs>
          <w:tab w:val="left" w:pos="8505"/>
        </w:tabs>
        <w:jc w:val="both"/>
        <w:rPr>
          <w:rFonts w:ascii="Tahoma" w:hAnsi="Tahoma" w:cs="Tahoma"/>
          <w:color w:val="FF0000"/>
          <w:sz w:val="20"/>
        </w:rPr>
      </w:pPr>
    </w:p>
    <w:p w14:paraId="26817D23" w14:textId="04B108EE" w:rsidR="00C91A50" w:rsidRPr="007D1E0B" w:rsidRDefault="00C91A50"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50AA7C75" w14:textId="77777777" w:rsidR="00C91A50" w:rsidRPr="005C2C33" w:rsidRDefault="00C91A50" w:rsidP="004C2BCD">
      <w:pPr>
        <w:keepNext/>
        <w:keepLines/>
        <w:jc w:val="both"/>
        <w:rPr>
          <w:rFonts w:ascii="Tahoma" w:hAnsi="Tahoma" w:cs="Tahoma"/>
          <w:bCs/>
          <w:sz w:val="20"/>
        </w:rPr>
      </w:pPr>
      <w:r w:rsidRPr="005C2C33">
        <w:rPr>
          <w:rFonts w:ascii="Tahoma" w:hAnsi="Tahoma" w:cs="Tahoma"/>
          <w:bCs/>
          <w:sz w:val="20"/>
        </w:rPr>
        <w:t xml:space="preserve">Reference: pogoj f) ena (1) izgradnja ali rekonstrukcija državne ali lokalne javne ceste v dolžini najmanj 1700 m, z hodnikom za pešce, kolesarje, katere vrednost znaša najmanj 5.000.000 EUR brez DDV. Se lahko ceste, izvedene v sklopu enega referenčnega projekta, seštevajo, da se ugodi zahtevani dolžini? Prosimo vas za čimprejšnji odgovor. </w:t>
      </w:r>
    </w:p>
    <w:p w14:paraId="37757F0E" w14:textId="77777777" w:rsidR="00C91A50" w:rsidRDefault="00C91A50" w:rsidP="004C2BCD">
      <w:pPr>
        <w:keepNext/>
        <w:keepLines/>
        <w:tabs>
          <w:tab w:val="left" w:pos="8505"/>
        </w:tabs>
        <w:jc w:val="both"/>
        <w:rPr>
          <w:rFonts w:ascii="Tahoma" w:hAnsi="Tahoma" w:cs="Tahoma"/>
          <w:color w:val="00B050"/>
          <w:sz w:val="20"/>
        </w:rPr>
      </w:pPr>
    </w:p>
    <w:p w14:paraId="3197FACD" w14:textId="77777777" w:rsidR="00C91A50" w:rsidRPr="007D1E0B" w:rsidRDefault="00C91A50"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2E7D6596" w14:textId="77777777" w:rsidR="00322F75" w:rsidRPr="00322F75" w:rsidRDefault="00322F75" w:rsidP="004C2BCD">
      <w:pPr>
        <w:keepNext/>
        <w:keepLines/>
        <w:pBdr>
          <w:bottom w:val="single" w:sz="4" w:space="1" w:color="auto"/>
        </w:pBdr>
        <w:jc w:val="both"/>
        <w:rPr>
          <w:rFonts w:ascii="Tahoma" w:hAnsi="Tahoma" w:cs="Tahoma"/>
          <w:bCs/>
          <w:sz w:val="20"/>
        </w:rPr>
      </w:pPr>
      <w:r w:rsidRPr="00322F75">
        <w:rPr>
          <w:rFonts w:ascii="Tahoma" w:hAnsi="Tahoma" w:cs="Tahoma"/>
          <w:bCs/>
          <w:sz w:val="20"/>
        </w:rPr>
        <w:t xml:space="preserve">Referenca mora biti izkazana z enim </w:t>
      </w:r>
      <w:r w:rsidR="00F4418F">
        <w:rPr>
          <w:rFonts w:ascii="Tahoma" w:hAnsi="Tahoma" w:cs="Tahoma"/>
          <w:bCs/>
          <w:sz w:val="20"/>
        </w:rPr>
        <w:t xml:space="preserve">referenčnim </w:t>
      </w:r>
      <w:r w:rsidRPr="00322F75">
        <w:rPr>
          <w:rFonts w:ascii="Tahoma" w:hAnsi="Tahoma" w:cs="Tahoma"/>
          <w:bCs/>
          <w:sz w:val="20"/>
        </w:rPr>
        <w:t>poslom</w:t>
      </w:r>
      <w:r w:rsidR="00F4418F">
        <w:rPr>
          <w:rFonts w:ascii="Tahoma" w:hAnsi="Tahoma" w:cs="Tahoma"/>
          <w:bCs/>
          <w:sz w:val="20"/>
        </w:rPr>
        <w:t>/pogodbo</w:t>
      </w:r>
      <w:r w:rsidRPr="00322F75">
        <w:rPr>
          <w:rFonts w:ascii="Tahoma" w:hAnsi="Tahoma" w:cs="Tahoma"/>
          <w:bCs/>
          <w:sz w:val="20"/>
        </w:rPr>
        <w:t>,</w:t>
      </w:r>
      <w:r w:rsidR="00F4418F">
        <w:rPr>
          <w:rFonts w:ascii="Tahoma" w:hAnsi="Tahoma" w:cs="Tahoma"/>
          <w:bCs/>
          <w:sz w:val="20"/>
        </w:rPr>
        <w:t xml:space="preserve"> v okviru katere je bilo predmet</w:t>
      </w:r>
      <w:r w:rsidRPr="00322F75">
        <w:rPr>
          <w:rFonts w:ascii="Tahoma" w:hAnsi="Tahoma" w:cs="Tahoma"/>
          <w:bCs/>
          <w:sz w:val="20"/>
        </w:rPr>
        <w:t xml:space="preserve"> </w:t>
      </w:r>
      <w:r w:rsidR="00F4418F">
        <w:rPr>
          <w:rFonts w:ascii="Tahoma" w:hAnsi="Tahoma" w:cs="Tahoma"/>
          <w:bCs/>
          <w:sz w:val="20"/>
        </w:rPr>
        <w:t xml:space="preserve">izgradnje ali rekonstrukcije več </w:t>
      </w:r>
      <w:r w:rsidR="00F4418F" w:rsidRPr="0024176C">
        <w:rPr>
          <w:rFonts w:ascii="Tahoma" w:hAnsi="Tahoma" w:cs="Tahoma"/>
          <w:bCs/>
          <w:sz w:val="20"/>
        </w:rPr>
        <w:t xml:space="preserve">javnih </w:t>
      </w:r>
      <w:r w:rsidR="00F4418F">
        <w:rPr>
          <w:rFonts w:ascii="Tahoma" w:hAnsi="Tahoma" w:cs="Tahoma"/>
          <w:bCs/>
          <w:sz w:val="20"/>
        </w:rPr>
        <w:t>cest. S</w:t>
      </w:r>
      <w:r w:rsidRPr="00322F75">
        <w:rPr>
          <w:rFonts w:ascii="Tahoma" w:hAnsi="Tahoma" w:cs="Tahoma"/>
          <w:bCs/>
          <w:sz w:val="20"/>
        </w:rPr>
        <w:t>eštevek cest, pločnikov in kolesarskih stez</w:t>
      </w:r>
      <w:r w:rsidR="00F4418F">
        <w:rPr>
          <w:rFonts w:ascii="Tahoma" w:hAnsi="Tahoma" w:cs="Tahoma"/>
          <w:bCs/>
          <w:sz w:val="20"/>
        </w:rPr>
        <w:t xml:space="preserve"> mora biti najmanj</w:t>
      </w:r>
      <w:r w:rsidRPr="00322F75">
        <w:rPr>
          <w:rFonts w:ascii="Tahoma" w:hAnsi="Tahoma" w:cs="Tahoma"/>
          <w:bCs/>
          <w:sz w:val="20"/>
        </w:rPr>
        <w:t xml:space="preserve"> 1</w:t>
      </w:r>
      <w:r w:rsidR="00F4418F">
        <w:rPr>
          <w:rFonts w:ascii="Tahoma" w:hAnsi="Tahoma" w:cs="Tahoma"/>
          <w:bCs/>
          <w:sz w:val="20"/>
        </w:rPr>
        <w:t>.</w:t>
      </w:r>
      <w:r w:rsidRPr="00322F75">
        <w:rPr>
          <w:rFonts w:ascii="Tahoma" w:hAnsi="Tahoma" w:cs="Tahoma"/>
          <w:bCs/>
          <w:sz w:val="20"/>
        </w:rPr>
        <w:t>700</w:t>
      </w:r>
      <w:r w:rsidR="00F4418F">
        <w:rPr>
          <w:rFonts w:ascii="Tahoma" w:hAnsi="Tahoma" w:cs="Tahoma"/>
          <w:bCs/>
          <w:sz w:val="20"/>
        </w:rPr>
        <w:t xml:space="preserve"> </w:t>
      </w:r>
      <w:r w:rsidRPr="00322F75">
        <w:rPr>
          <w:rFonts w:ascii="Tahoma" w:hAnsi="Tahoma" w:cs="Tahoma"/>
          <w:bCs/>
          <w:sz w:val="20"/>
        </w:rPr>
        <w:t xml:space="preserve">m, vrednost </w:t>
      </w:r>
      <w:r w:rsidR="00F4418F">
        <w:rPr>
          <w:rFonts w:ascii="Tahoma" w:hAnsi="Tahoma" w:cs="Tahoma"/>
          <w:bCs/>
          <w:sz w:val="20"/>
        </w:rPr>
        <w:t xml:space="preserve">referenčnega </w:t>
      </w:r>
      <w:r w:rsidRPr="00322F75">
        <w:rPr>
          <w:rFonts w:ascii="Tahoma" w:hAnsi="Tahoma" w:cs="Tahoma"/>
          <w:bCs/>
          <w:sz w:val="20"/>
        </w:rPr>
        <w:t>posla</w:t>
      </w:r>
      <w:r w:rsidR="00F4418F">
        <w:rPr>
          <w:rFonts w:ascii="Tahoma" w:hAnsi="Tahoma" w:cs="Tahoma"/>
          <w:bCs/>
          <w:sz w:val="20"/>
        </w:rPr>
        <w:t>/pogodbe</w:t>
      </w:r>
      <w:r w:rsidRPr="00322F75">
        <w:rPr>
          <w:rFonts w:ascii="Tahoma" w:hAnsi="Tahoma" w:cs="Tahoma"/>
          <w:bCs/>
          <w:sz w:val="20"/>
        </w:rPr>
        <w:t xml:space="preserve"> pa najmanj 5.000.000 EUR</w:t>
      </w:r>
      <w:r w:rsidR="00F4418F">
        <w:rPr>
          <w:rFonts w:ascii="Tahoma" w:hAnsi="Tahoma" w:cs="Tahoma"/>
          <w:bCs/>
          <w:sz w:val="20"/>
        </w:rPr>
        <w:t xml:space="preserve"> brez DDV.</w:t>
      </w:r>
    </w:p>
    <w:p w14:paraId="1BAF008A" w14:textId="77777777" w:rsidR="00C91A50" w:rsidRPr="007D1E0B" w:rsidRDefault="00C91A50" w:rsidP="004C2BCD">
      <w:pPr>
        <w:keepNext/>
        <w:keepLines/>
        <w:rPr>
          <w:color w:val="1F497D"/>
        </w:rPr>
      </w:pPr>
    </w:p>
    <w:p w14:paraId="23B467D4" w14:textId="77777777" w:rsidR="00C91A50" w:rsidRPr="007D1E0B" w:rsidRDefault="00C91A50"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5B00049C" w14:textId="77777777" w:rsidR="00C91A50" w:rsidRPr="005C2C33" w:rsidRDefault="00C91A50" w:rsidP="004C2BCD">
      <w:pPr>
        <w:keepNext/>
        <w:keepLines/>
        <w:jc w:val="both"/>
        <w:rPr>
          <w:rFonts w:ascii="Tahoma" w:hAnsi="Tahoma" w:cs="Tahoma"/>
          <w:bCs/>
          <w:sz w:val="20"/>
        </w:rPr>
      </w:pPr>
      <w:r w:rsidRPr="005C2C33">
        <w:rPr>
          <w:rFonts w:ascii="Tahoma" w:hAnsi="Tahoma" w:cs="Tahoma"/>
          <w:bCs/>
          <w:sz w:val="20"/>
        </w:rPr>
        <w:t xml:space="preserve">Vprašanje za g) reference druga alineja - oporna stena vsaj 10.000 m2: ali tu velja tudi podporna stena? </w:t>
      </w:r>
    </w:p>
    <w:p w14:paraId="2ABDB149" w14:textId="77777777" w:rsidR="00C91A50" w:rsidRPr="007D1E0B" w:rsidRDefault="00C91A50" w:rsidP="004C2BCD">
      <w:pPr>
        <w:keepNext/>
        <w:keepLines/>
        <w:tabs>
          <w:tab w:val="left" w:pos="8505"/>
        </w:tabs>
        <w:spacing w:after="120"/>
        <w:jc w:val="both"/>
        <w:rPr>
          <w:rFonts w:ascii="Tahoma" w:hAnsi="Tahoma" w:cs="Tahoma"/>
          <w:color w:val="00B050"/>
          <w:sz w:val="20"/>
        </w:rPr>
      </w:pPr>
      <w:r w:rsidRPr="007D1E0B">
        <w:rPr>
          <w:rFonts w:ascii="Tahoma" w:hAnsi="Tahoma" w:cs="Tahoma"/>
          <w:bCs/>
          <w:sz w:val="20"/>
        </w:rPr>
        <w:br/>
      </w:r>
      <w:r w:rsidRPr="007D1E0B">
        <w:rPr>
          <w:rFonts w:ascii="Tahoma" w:hAnsi="Tahoma" w:cs="Tahoma"/>
          <w:color w:val="00B050"/>
          <w:sz w:val="20"/>
        </w:rPr>
        <w:t>ODGOVOR:</w:t>
      </w:r>
    </w:p>
    <w:p w14:paraId="4A47047A" w14:textId="3C5B2EC7" w:rsidR="00C91A50" w:rsidRPr="007D1E0B" w:rsidRDefault="00E848F6" w:rsidP="004C2BCD">
      <w:pPr>
        <w:keepNext/>
        <w:keepLines/>
        <w:pBdr>
          <w:bottom w:val="single" w:sz="4" w:space="1" w:color="auto"/>
        </w:pBdr>
        <w:tabs>
          <w:tab w:val="left" w:pos="8505"/>
        </w:tabs>
        <w:jc w:val="both"/>
        <w:rPr>
          <w:rFonts w:ascii="Tahoma" w:hAnsi="Tahoma" w:cs="Tahoma"/>
          <w:color w:val="FF0000"/>
          <w:sz w:val="20"/>
        </w:rPr>
      </w:pPr>
      <w:r>
        <w:rPr>
          <w:rFonts w:ascii="Tahoma" w:hAnsi="Tahoma" w:cs="Tahoma"/>
          <w:bCs/>
          <w:sz w:val="20"/>
        </w:rPr>
        <w:t>Da, velja tudi podporna stena.</w:t>
      </w:r>
    </w:p>
    <w:p w14:paraId="1292530F" w14:textId="0A5D3838" w:rsidR="00276E21" w:rsidRDefault="00276E21" w:rsidP="004C2BCD">
      <w:pPr>
        <w:keepNext/>
        <w:keepLines/>
        <w:tabs>
          <w:tab w:val="left" w:pos="8505"/>
        </w:tabs>
        <w:jc w:val="both"/>
        <w:rPr>
          <w:rFonts w:ascii="Tahoma" w:hAnsi="Tahoma" w:cs="Tahoma"/>
          <w:color w:val="FF0000"/>
          <w:sz w:val="20"/>
        </w:rPr>
      </w:pPr>
    </w:p>
    <w:p w14:paraId="503893A9" w14:textId="77777777" w:rsidR="00C91A50" w:rsidRPr="007D1E0B" w:rsidRDefault="00C91A50"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25859D4D" w14:textId="77777777" w:rsidR="00C91A50" w:rsidRPr="00BC4AA4" w:rsidRDefault="00C91A50" w:rsidP="004C2BCD">
      <w:pPr>
        <w:keepNext/>
        <w:keepLines/>
        <w:jc w:val="both"/>
        <w:rPr>
          <w:rFonts w:ascii="Tahoma" w:hAnsi="Tahoma" w:cs="Tahoma"/>
          <w:bCs/>
          <w:sz w:val="20"/>
        </w:rPr>
      </w:pPr>
      <w:r w:rsidRPr="00BC4AA4">
        <w:rPr>
          <w:rFonts w:ascii="Tahoma" w:hAnsi="Tahoma" w:cs="Tahoma"/>
          <w:bCs/>
          <w:sz w:val="20"/>
        </w:rPr>
        <w:t>Ali prav razumemo da se reference pod d) in e) za podjetja ter pod b) in c) za vodjo gradnje, seštevajo, da recimo lahko s tremi (3) referencami skupno zadostimo pogoju, npr. 2,5 km plinovoda (da se 3 reference seštejejo do skupne dolžine 2,5 km)?</w:t>
      </w:r>
    </w:p>
    <w:p w14:paraId="7E696E46" w14:textId="149B9EFB" w:rsidR="004C2BCD" w:rsidRDefault="004C2BCD" w:rsidP="00827506">
      <w:pPr>
        <w:keepNext/>
        <w:keepLines/>
        <w:tabs>
          <w:tab w:val="left" w:pos="8505"/>
        </w:tabs>
        <w:jc w:val="both"/>
        <w:rPr>
          <w:rFonts w:ascii="Tahoma" w:hAnsi="Tahoma" w:cs="Tahoma"/>
          <w:color w:val="00B050"/>
          <w:sz w:val="20"/>
        </w:rPr>
      </w:pPr>
    </w:p>
    <w:p w14:paraId="4E3248C1" w14:textId="7102404B" w:rsidR="00C91A50" w:rsidRPr="007D1E0B" w:rsidRDefault="00C91A50"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457746F3" w14:textId="455B1641" w:rsidR="0024176C" w:rsidRDefault="001C3585" w:rsidP="004C2BCD">
      <w:pPr>
        <w:keepNext/>
        <w:keepLines/>
        <w:tabs>
          <w:tab w:val="left" w:pos="8505"/>
        </w:tabs>
        <w:jc w:val="both"/>
        <w:rPr>
          <w:rFonts w:ascii="Tahoma" w:hAnsi="Tahoma" w:cs="Tahoma"/>
          <w:bCs/>
          <w:sz w:val="20"/>
        </w:rPr>
      </w:pPr>
      <w:r>
        <w:rPr>
          <w:rFonts w:ascii="Tahoma" w:hAnsi="Tahoma" w:cs="Tahoma"/>
          <w:bCs/>
          <w:sz w:val="20"/>
        </w:rPr>
        <w:t xml:space="preserve">V skladu z zgoraj navedenim odgovorom na vprašanje, </w:t>
      </w:r>
      <w:r w:rsidR="0024176C">
        <w:rPr>
          <w:rFonts w:ascii="Tahoma" w:hAnsi="Tahoma" w:cs="Tahoma"/>
          <w:bCs/>
          <w:sz w:val="20"/>
        </w:rPr>
        <w:t>naročnik odgovarja in pojasnjuje, da lahko gospodarski subjekt/ponudnik:</w:t>
      </w:r>
    </w:p>
    <w:p w14:paraId="0BE9B80A" w14:textId="77777777" w:rsidR="0024176C" w:rsidRDefault="0024176C" w:rsidP="004C2BCD">
      <w:pPr>
        <w:pStyle w:val="Odstavekseznama"/>
        <w:keepNext/>
        <w:keepLines/>
        <w:numPr>
          <w:ilvl w:val="0"/>
          <w:numId w:val="21"/>
        </w:numPr>
        <w:tabs>
          <w:tab w:val="left" w:pos="8505"/>
        </w:tabs>
        <w:jc w:val="both"/>
        <w:rPr>
          <w:rFonts w:ascii="Tahoma" w:hAnsi="Tahoma" w:cs="Tahoma"/>
          <w:bCs/>
          <w:sz w:val="20"/>
        </w:rPr>
      </w:pPr>
      <w:r>
        <w:rPr>
          <w:rFonts w:ascii="Tahoma" w:hAnsi="Tahoma" w:cs="Tahoma"/>
          <w:bCs/>
          <w:sz w:val="20"/>
        </w:rPr>
        <w:t xml:space="preserve">pri referenčnem pogoju d)- </w:t>
      </w:r>
      <w:r w:rsidRPr="009F2D87">
        <w:rPr>
          <w:rFonts w:ascii="Tahoma" w:hAnsi="Tahoma" w:cs="Tahoma"/>
          <w:bCs/>
          <w:sz w:val="20"/>
        </w:rPr>
        <w:t>vodovod</w:t>
      </w:r>
      <w:r>
        <w:rPr>
          <w:rFonts w:ascii="Tahoma" w:hAnsi="Tahoma" w:cs="Tahoma"/>
          <w:bCs/>
          <w:sz w:val="20"/>
        </w:rPr>
        <w:t xml:space="preserve">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3.2.3.1. razpisne dokumentacije</w:t>
      </w:r>
      <w:r>
        <w:rPr>
          <w:rFonts w:ascii="Tahoma" w:hAnsi="Tahoma" w:cs="Tahoma"/>
          <w:bCs/>
          <w:sz w:val="20"/>
        </w:rPr>
        <w:t>)   izpolni</w:t>
      </w:r>
      <w:r w:rsidRPr="009F2D87">
        <w:rPr>
          <w:rFonts w:ascii="Tahoma" w:hAnsi="Tahoma" w:cs="Tahoma"/>
          <w:bCs/>
          <w:sz w:val="20"/>
        </w:rPr>
        <w:t xml:space="preserve"> pogoj z seštevkom največ treh</w:t>
      </w:r>
      <w:r>
        <w:rPr>
          <w:rFonts w:ascii="Tahoma" w:hAnsi="Tahoma" w:cs="Tahoma"/>
          <w:bCs/>
          <w:sz w:val="20"/>
        </w:rPr>
        <w:t xml:space="preserve"> (3)</w:t>
      </w:r>
      <w:r w:rsidRPr="009F2D87">
        <w:rPr>
          <w:rFonts w:ascii="Tahoma" w:hAnsi="Tahoma" w:cs="Tahoma"/>
          <w:bCs/>
          <w:sz w:val="20"/>
        </w:rPr>
        <w:t xml:space="preserve"> </w:t>
      </w:r>
      <w:r>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 xml:space="preserve">v </w:t>
      </w:r>
      <w:r w:rsidRPr="009F2D87">
        <w:rPr>
          <w:rFonts w:ascii="Tahoma" w:hAnsi="Tahoma" w:cs="Tahoma"/>
          <w:bCs/>
          <w:sz w:val="20"/>
        </w:rPr>
        <w:t>skupn</w:t>
      </w:r>
      <w:r>
        <w:rPr>
          <w:rFonts w:ascii="Tahoma" w:hAnsi="Tahoma" w:cs="Tahoma"/>
          <w:bCs/>
          <w:sz w:val="20"/>
        </w:rPr>
        <w:t>i</w:t>
      </w:r>
      <w:r w:rsidRPr="009F2D87">
        <w:rPr>
          <w:rFonts w:ascii="Tahoma" w:hAnsi="Tahoma" w:cs="Tahoma"/>
          <w:bCs/>
          <w:sz w:val="20"/>
        </w:rPr>
        <w:t xml:space="preserve"> dolžin</w:t>
      </w:r>
      <w:r>
        <w:rPr>
          <w:rFonts w:ascii="Tahoma" w:hAnsi="Tahoma" w:cs="Tahoma"/>
          <w:bCs/>
          <w:sz w:val="20"/>
        </w:rPr>
        <w:t>i</w:t>
      </w:r>
      <w:r w:rsidRPr="009F2D87">
        <w:rPr>
          <w:rFonts w:ascii="Tahoma" w:hAnsi="Tahoma" w:cs="Tahoma"/>
          <w:bCs/>
          <w:sz w:val="20"/>
        </w:rPr>
        <w:t xml:space="preserve"> 3</w:t>
      </w:r>
      <w:r>
        <w:rPr>
          <w:rFonts w:ascii="Tahoma" w:hAnsi="Tahoma" w:cs="Tahoma"/>
          <w:bCs/>
          <w:sz w:val="20"/>
        </w:rPr>
        <w:t>.000 m,</w:t>
      </w:r>
    </w:p>
    <w:p w14:paraId="2046105B" w14:textId="77777777" w:rsidR="0024176C" w:rsidRDefault="0024176C" w:rsidP="004C2BCD">
      <w:pPr>
        <w:pStyle w:val="Odstavekseznama"/>
        <w:keepNext/>
        <w:keepLines/>
        <w:numPr>
          <w:ilvl w:val="0"/>
          <w:numId w:val="21"/>
        </w:numPr>
        <w:tabs>
          <w:tab w:val="left" w:pos="8505"/>
        </w:tabs>
        <w:jc w:val="both"/>
        <w:rPr>
          <w:rFonts w:ascii="Tahoma" w:hAnsi="Tahoma" w:cs="Tahoma"/>
          <w:bCs/>
          <w:sz w:val="20"/>
        </w:rPr>
      </w:pPr>
      <w:r>
        <w:rPr>
          <w:rFonts w:ascii="Tahoma" w:hAnsi="Tahoma" w:cs="Tahoma"/>
          <w:bCs/>
          <w:sz w:val="20"/>
        </w:rPr>
        <w:t>pri referenčnem</w:t>
      </w:r>
      <w:r w:rsidRPr="009F2D87">
        <w:rPr>
          <w:rFonts w:ascii="Tahoma" w:hAnsi="Tahoma" w:cs="Tahoma"/>
          <w:bCs/>
          <w:sz w:val="20"/>
        </w:rPr>
        <w:t xml:space="preserve"> pogoj</w:t>
      </w:r>
      <w:r>
        <w:rPr>
          <w:rFonts w:ascii="Tahoma" w:hAnsi="Tahoma" w:cs="Tahoma"/>
          <w:bCs/>
          <w:sz w:val="20"/>
        </w:rPr>
        <w:t xml:space="preserve">u e)- </w:t>
      </w:r>
      <w:r w:rsidRPr="009F2D87">
        <w:rPr>
          <w:rFonts w:ascii="Tahoma" w:hAnsi="Tahoma" w:cs="Tahoma"/>
          <w:bCs/>
          <w:sz w:val="20"/>
        </w:rPr>
        <w:t>plinovod</w:t>
      </w:r>
      <w:r>
        <w:rPr>
          <w:rFonts w:ascii="Tahoma" w:hAnsi="Tahoma" w:cs="Tahoma"/>
          <w:bCs/>
          <w:sz w:val="20"/>
        </w:rPr>
        <w:t xml:space="preserve">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3.2.3.1. razpisne dokumentacije</w:t>
      </w:r>
      <w:r>
        <w:rPr>
          <w:rFonts w:ascii="Tahoma" w:hAnsi="Tahoma" w:cs="Tahoma"/>
          <w:bCs/>
          <w:sz w:val="20"/>
        </w:rPr>
        <w:t xml:space="preserve">)  izpolni </w:t>
      </w:r>
      <w:r w:rsidRPr="009F2D87">
        <w:rPr>
          <w:rFonts w:ascii="Tahoma" w:hAnsi="Tahoma" w:cs="Tahoma"/>
          <w:bCs/>
          <w:sz w:val="20"/>
        </w:rPr>
        <w:t>pogoj z seštevkom največ treh</w:t>
      </w:r>
      <w:r>
        <w:rPr>
          <w:rFonts w:ascii="Tahoma" w:hAnsi="Tahoma" w:cs="Tahoma"/>
          <w:bCs/>
          <w:sz w:val="20"/>
        </w:rPr>
        <w:t xml:space="preserve"> (3)</w:t>
      </w:r>
      <w:r w:rsidRPr="009F2D87">
        <w:rPr>
          <w:rFonts w:ascii="Tahoma" w:hAnsi="Tahoma" w:cs="Tahoma"/>
          <w:bCs/>
          <w:sz w:val="20"/>
        </w:rPr>
        <w:t xml:space="preserve"> </w:t>
      </w:r>
      <w:r>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v</w:t>
      </w:r>
      <w:r w:rsidRPr="009F2D87">
        <w:rPr>
          <w:rFonts w:ascii="Tahoma" w:hAnsi="Tahoma" w:cs="Tahoma"/>
          <w:bCs/>
          <w:sz w:val="20"/>
        </w:rPr>
        <w:t xml:space="preserve"> skupn</w:t>
      </w:r>
      <w:r>
        <w:rPr>
          <w:rFonts w:ascii="Tahoma" w:hAnsi="Tahoma" w:cs="Tahoma"/>
          <w:bCs/>
          <w:sz w:val="20"/>
        </w:rPr>
        <w:t>i</w:t>
      </w:r>
      <w:r w:rsidRPr="009F2D87">
        <w:rPr>
          <w:rFonts w:ascii="Tahoma" w:hAnsi="Tahoma" w:cs="Tahoma"/>
          <w:bCs/>
          <w:sz w:val="20"/>
        </w:rPr>
        <w:t xml:space="preserve"> dolžin</w:t>
      </w:r>
      <w:r>
        <w:rPr>
          <w:rFonts w:ascii="Tahoma" w:hAnsi="Tahoma" w:cs="Tahoma"/>
          <w:bCs/>
          <w:sz w:val="20"/>
        </w:rPr>
        <w:t>i</w:t>
      </w:r>
      <w:r w:rsidRPr="009F2D87">
        <w:rPr>
          <w:rFonts w:ascii="Tahoma" w:hAnsi="Tahoma" w:cs="Tahoma"/>
          <w:bCs/>
          <w:sz w:val="20"/>
        </w:rPr>
        <w:t xml:space="preserve"> 2,5 km</w:t>
      </w:r>
      <w:r>
        <w:rPr>
          <w:rFonts w:ascii="Tahoma" w:hAnsi="Tahoma" w:cs="Tahoma"/>
          <w:bCs/>
          <w:sz w:val="20"/>
        </w:rPr>
        <w:t>,</w:t>
      </w:r>
    </w:p>
    <w:p w14:paraId="3AEE39CB" w14:textId="77777777" w:rsidR="0024176C" w:rsidRDefault="0024176C" w:rsidP="004C2BCD">
      <w:pPr>
        <w:pStyle w:val="Odstavekseznama"/>
        <w:keepNext/>
        <w:keepLines/>
        <w:numPr>
          <w:ilvl w:val="0"/>
          <w:numId w:val="21"/>
        </w:numPr>
        <w:tabs>
          <w:tab w:val="left" w:pos="8505"/>
        </w:tabs>
        <w:jc w:val="both"/>
        <w:rPr>
          <w:rFonts w:ascii="Tahoma" w:hAnsi="Tahoma" w:cs="Tahoma"/>
          <w:bCs/>
          <w:sz w:val="20"/>
        </w:rPr>
      </w:pPr>
      <w:r>
        <w:rPr>
          <w:rFonts w:ascii="Tahoma" w:hAnsi="Tahoma" w:cs="Tahoma"/>
          <w:bCs/>
          <w:sz w:val="20"/>
        </w:rPr>
        <w:t>pri referenčnem</w:t>
      </w:r>
      <w:r w:rsidRPr="009F2D87">
        <w:rPr>
          <w:rFonts w:ascii="Tahoma" w:hAnsi="Tahoma" w:cs="Tahoma"/>
          <w:bCs/>
          <w:sz w:val="20"/>
        </w:rPr>
        <w:t xml:space="preserve"> pogoj</w:t>
      </w:r>
      <w:r>
        <w:rPr>
          <w:rFonts w:ascii="Tahoma" w:hAnsi="Tahoma" w:cs="Tahoma"/>
          <w:bCs/>
          <w:sz w:val="20"/>
        </w:rPr>
        <w:t>u g)- izgradnja ali rekonstrukcija javne ceste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3.2.3.1. razpisne dokumentacije</w:t>
      </w:r>
      <w:r>
        <w:rPr>
          <w:rFonts w:ascii="Tahoma" w:hAnsi="Tahoma" w:cs="Tahoma"/>
          <w:bCs/>
          <w:sz w:val="20"/>
        </w:rPr>
        <w:t xml:space="preserve">)  izpolni </w:t>
      </w:r>
      <w:r w:rsidRPr="009F2D87">
        <w:rPr>
          <w:rFonts w:ascii="Tahoma" w:hAnsi="Tahoma" w:cs="Tahoma"/>
          <w:bCs/>
          <w:sz w:val="20"/>
        </w:rPr>
        <w:t>pogoj z seštevkom največ treh</w:t>
      </w:r>
      <w:r>
        <w:rPr>
          <w:rFonts w:ascii="Tahoma" w:hAnsi="Tahoma" w:cs="Tahoma"/>
          <w:bCs/>
          <w:sz w:val="20"/>
        </w:rPr>
        <w:t xml:space="preserve"> (3)</w:t>
      </w:r>
      <w:r w:rsidRPr="009F2D87">
        <w:rPr>
          <w:rFonts w:ascii="Tahoma" w:hAnsi="Tahoma" w:cs="Tahoma"/>
          <w:bCs/>
          <w:sz w:val="20"/>
        </w:rPr>
        <w:t xml:space="preserve"> </w:t>
      </w:r>
      <w:r>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kot so predmet javnega naročila.</w:t>
      </w:r>
    </w:p>
    <w:p w14:paraId="602BE634" w14:textId="77777777" w:rsidR="0024176C" w:rsidRDefault="0024176C" w:rsidP="004C2BCD">
      <w:pPr>
        <w:keepNext/>
        <w:keepLines/>
        <w:tabs>
          <w:tab w:val="left" w:pos="8505"/>
        </w:tabs>
        <w:jc w:val="both"/>
        <w:rPr>
          <w:rFonts w:ascii="Tahoma" w:hAnsi="Tahoma" w:cs="Tahoma"/>
          <w:bCs/>
          <w:sz w:val="20"/>
        </w:rPr>
      </w:pPr>
    </w:p>
    <w:p w14:paraId="45D8B4DD" w14:textId="77777777" w:rsidR="00827506" w:rsidRDefault="00827506" w:rsidP="004C2BCD">
      <w:pPr>
        <w:keepNext/>
        <w:keepLines/>
        <w:tabs>
          <w:tab w:val="left" w:pos="8505"/>
        </w:tabs>
        <w:jc w:val="both"/>
        <w:rPr>
          <w:rFonts w:ascii="Tahoma" w:hAnsi="Tahoma" w:cs="Tahoma"/>
          <w:bCs/>
          <w:sz w:val="20"/>
        </w:rPr>
      </w:pPr>
    </w:p>
    <w:p w14:paraId="62523EAA" w14:textId="77777777" w:rsidR="00827506" w:rsidRDefault="00827506" w:rsidP="004C2BCD">
      <w:pPr>
        <w:keepNext/>
        <w:keepLines/>
        <w:tabs>
          <w:tab w:val="left" w:pos="8505"/>
        </w:tabs>
        <w:jc w:val="both"/>
        <w:rPr>
          <w:rFonts w:ascii="Tahoma" w:hAnsi="Tahoma" w:cs="Tahoma"/>
          <w:bCs/>
          <w:sz w:val="20"/>
        </w:rPr>
      </w:pPr>
    </w:p>
    <w:p w14:paraId="3C516487" w14:textId="77777777" w:rsidR="00827506" w:rsidRDefault="00827506" w:rsidP="004C2BCD">
      <w:pPr>
        <w:keepNext/>
        <w:keepLines/>
        <w:tabs>
          <w:tab w:val="left" w:pos="8505"/>
        </w:tabs>
        <w:jc w:val="both"/>
        <w:rPr>
          <w:rFonts w:ascii="Tahoma" w:hAnsi="Tahoma" w:cs="Tahoma"/>
          <w:bCs/>
          <w:sz w:val="20"/>
        </w:rPr>
      </w:pPr>
    </w:p>
    <w:p w14:paraId="0F2B4158" w14:textId="517BD5ED" w:rsidR="0024176C" w:rsidRDefault="00827506" w:rsidP="004C2BCD">
      <w:pPr>
        <w:keepNext/>
        <w:keepLines/>
        <w:tabs>
          <w:tab w:val="left" w:pos="8505"/>
        </w:tabs>
        <w:jc w:val="both"/>
        <w:rPr>
          <w:rFonts w:ascii="Tahoma" w:hAnsi="Tahoma" w:cs="Tahoma"/>
          <w:bCs/>
          <w:sz w:val="20"/>
        </w:rPr>
      </w:pPr>
      <w:r>
        <w:rPr>
          <w:rFonts w:ascii="Tahoma" w:hAnsi="Tahoma" w:cs="Tahoma"/>
          <w:bCs/>
          <w:sz w:val="20"/>
        </w:rPr>
        <w:lastRenderedPageBreak/>
        <w:t>V skladu z zgoraj navedenim odgovorom na vprašanje, naročnik odgovarja in pojasnjuje</w:t>
      </w:r>
      <w:r w:rsidR="0024176C">
        <w:rPr>
          <w:rFonts w:ascii="Tahoma" w:hAnsi="Tahoma" w:cs="Tahoma"/>
          <w:bCs/>
          <w:sz w:val="20"/>
        </w:rPr>
        <w:t>, da lahko vodja gradnje:</w:t>
      </w:r>
    </w:p>
    <w:p w14:paraId="09768864" w14:textId="77777777" w:rsidR="0024176C" w:rsidRDefault="0024176C" w:rsidP="004C2BCD">
      <w:pPr>
        <w:pStyle w:val="Odstavekseznama"/>
        <w:keepNext/>
        <w:keepLines/>
        <w:numPr>
          <w:ilvl w:val="0"/>
          <w:numId w:val="21"/>
        </w:numPr>
        <w:pBdr>
          <w:bottom w:val="single" w:sz="4" w:space="1" w:color="auto"/>
        </w:pBdr>
        <w:tabs>
          <w:tab w:val="left" w:pos="8505"/>
        </w:tabs>
        <w:jc w:val="both"/>
        <w:rPr>
          <w:rFonts w:ascii="Tahoma" w:hAnsi="Tahoma" w:cs="Tahoma"/>
          <w:bCs/>
          <w:sz w:val="20"/>
        </w:rPr>
      </w:pPr>
      <w:r>
        <w:rPr>
          <w:rFonts w:ascii="Tahoma" w:hAnsi="Tahoma" w:cs="Tahoma"/>
          <w:bCs/>
          <w:sz w:val="20"/>
        </w:rPr>
        <w:t>pri referenčnem pogoju</w:t>
      </w:r>
      <w:r w:rsidRPr="009F2D87">
        <w:rPr>
          <w:rFonts w:ascii="Tahoma" w:hAnsi="Tahoma" w:cs="Tahoma"/>
          <w:bCs/>
          <w:sz w:val="20"/>
        </w:rPr>
        <w:t xml:space="preserve"> </w:t>
      </w:r>
      <w:r>
        <w:rPr>
          <w:rFonts w:ascii="Tahoma" w:hAnsi="Tahoma" w:cs="Tahoma"/>
          <w:bCs/>
          <w:sz w:val="20"/>
        </w:rPr>
        <w:t>b)- vodovod in referenčnem pogoju c</w:t>
      </w:r>
      <w:r w:rsidRPr="009F2D87">
        <w:rPr>
          <w:rFonts w:ascii="Tahoma" w:hAnsi="Tahoma" w:cs="Tahoma"/>
          <w:bCs/>
          <w:sz w:val="20"/>
        </w:rPr>
        <w:t>)</w:t>
      </w:r>
      <w:r>
        <w:rPr>
          <w:rFonts w:ascii="Tahoma" w:hAnsi="Tahoma" w:cs="Tahoma"/>
          <w:bCs/>
          <w:sz w:val="20"/>
        </w:rPr>
        <w:t>-</w:t>
      </w:r>
      <w:r w:rsidRPr="009F2D87">
        <w:rPr>
          <w:rFonts w:ascii="Tahoma" w:hAnsi="Tahoma" w:cs="Tahoma"/>
          <w:bCs/>
          <w:sz w:val="20"/>
        </w:rPr>
        <w:t xml:space="preserve"> </w:t>
      </w:r>
      <w:r>
        <w:rPr>
          <w:rFonts w:ascii="Tahoma" w:hAnsi="Tahoma" w:cs="Tahoma"/>
          <w:bCs/>
          <w:sz w:val="20"/>
        </w:rPr>
        <w:t>plinovod (v r</w:t>
      </w:r>
      <w:r w:rsidRPr="009F2D87">
        <w:rPr>
          <w:rFonts w:ascii="Tahoma" w:hAnsi="Tahoma" w:cs="Tahoma"/>
          <w:bCs/>
          <w:sz w:val="20"/>
        </w:rPr>
        <w:t>eferenčnih pogoj</w:t>
      </w:r>
      <w:r>
        <w:rPr>
          <w:rFonts w:ascii="Tahoma" w:hAnsi="Tahoma" w:cs="Tahoma"/>
          <w:bCs/>
          <w:sz w:val="20"/>
        </w:rPr>
        <w:t>ih</w:t>
      </w:r>
      <w:r w:rsidRPr="009F2D87">
        <w:rPr>
          <w:rFonts w:ascii="Tahoma" w:hAnsi="Tahoma" w:cs="Tahoma"/>
          <w:bCs/>
          <w:sz w:val="20"/>
        </w:rPr>
        <w:t xml:space="preserve"> tč. 3.2.3.</w:t>
      </w:r>
      <w:r>
        <w:rPr>
          <w:rFonts w:ascii="Tahoma" w:hAnsi="Tahoma" w:cs="Tahoma"/>
          <w:bCs/>
          <w:sz w:val="20"/>
        </w:rPr>
        <w:t>3</w:t>
      </w:r>
      <w:r w:rsidRPr="009F2D87">
        <w:rPr>
          <w:rFonts w:ascii="Tahoma" w:hAnsi="Tahoma" w:cs="Tahoma"/>
          <w:bCs/>
          <w:sz w:val="20"/>
        </w:rPr>
        <w:t>. razpisne dokumentacije</w:t>
      </w:r>
      <w:r>
        <w:rPr>
          <w:rFonts w:ascii="Tahoma" w:hAnsi="Tahoma" w:cs="Tahoma"/>
          <w:bCs/>
          <w:sz w:val="20"/>
        </w:rPr>
        <w:t>, podtočka a))  izpolni</w:t>
      </w:r>
      <w:r w:rsidRPr="009F2D87">
        <w:rPr>
          <w:rFonts w:ascii="Tahoma" w:hAnsi="Tahoma" w:cs="Tahoma"/>
          <w:bCs/>
          <w:sz w:val="20"/>
        </w:rPr>
        <w:t xml:space="preserve"> </w:t>
      </w:r>
      <w:r>
        <w:rPr>
          <w:rFonts w:ascii="Tahoma" w:hAnsi="Tahoma" w:cs="Tahoma"/>
          <w:bCs/>
          <w:sz w:val="20"/>
        </w:rPr>
        <w:t xml:space="preserve">posamezni </w:t>
      </w:r>
      <w:r w:rsidRPr="009F2D87">
        <w:rPr>
          <w:rFonts w:ascii="Tahoma" w:hAnsi="Tahoma" w:cs="Tahoma"/>
          <w:bCs/>
          <w:sz w:val="20"/>
        </w:rPr>
        <w:t>pogoj z seštevkom največ treh</w:t>
      </w:r>
      <w:r>
        <w:rPr>
          <w:rFonts w:ascii="Tahoma" w:hAnsi="Tahoma" w:cs="Tahoma"/>
          <w:bCs/>
          <w:sz w:val="20"/>
        </w:rPr>
        <w:t xml:space="preserve"> (3)</w:t>
      </w:r>
      <w:r w:rsidRPr="009F2D87">
        <w:rPr>
          <w:rFonts w:ascii="Tahoma" w:hAnsi="Tahoma" w:cs="Tahoma"/>
          <w:bCs/>
          <w:sz w:val="20"/>
        </w:rPr>
        <w:t xml:space="preserve"> </w:t>
      </w:r>
      <w:r>
        <w:rPr>
          <w:rFonts w:ascii="Tahoma" w:hAnsi="Tahoma" w:cs="Tahoma"/>
          <w:bCs/>
          <w:sz w:val="20"/>
        </w:rPr>
        <w:t xml:space="preserve">istovrstnih </w:t>
      </w:r>
      <w:r w:rsidRPr="009F2D87">
        <w:rPr>
          <w:rFonts w:ascii="Tahoma" w:hAnsi="Tahoma" w:cs="Tahoma"/>
          <w:bCs/>
          <w:sz w:val="20"/>
        </w:rPr>
        <w:t xml:space="preserve">referenc </w:t>
      </w:r>
      <w:r>
        <w:rPr>
          <w:rFonts w:ascii="Tahoma" w:hAnsi="Tahoma" w:cs="Tahoma"/>
          <w:bCs/>
          <w:sz w:val="20"/>
        </w:rPr>
        <w:t xml:space="preserve">v </w:t>
      </w:r>
      <w:r w:rsidRPr="009F2D87">
        <w:rPr>
          <w:rFonts w:ascii="Tahoma" w:hAnsi="Tahoma" w:cs="Tahoma"/>
          <w:bCs/>
          <w:sz w:val="20"/>
        </w:rPr>
        <w:t>skupn</w:t>
      </w:r>
      <w:r>
        <w:rPr>
          <w:rFonts w:ascii="Tahoma" w:hAnsi="Tahoma" w:cs="Tahoma"/>
          <w:bCs/>
          <w:sz w:val="20"/>
        </w:rPr>
        <w:t>i</w:t>
      </w:r>
      <w:r w:rsidRPr="009F2D87">
        <w:rPr>
          <w:rFonts w:ascii="Tahoma" w:hAnsi="Tahoma" w:cs="Tahoma"/>
          <w:bCs/>
          <w:sz w:val="20"/>
        </w:rPr>
        <w:t xml:space="preserve"> dolžin</w:t>
      </w:r>
      <w:r>
        <w:rPr>
          <w:rFonts w:ascii="Tahoma" w:hAnsi="Tahoma" w:cs="Tahoma"/>
          <w:bCs/>
          <w:sz w:val="20"/>
        </w:rPr>
        <w:t>i</w:t>
      </w:r>
      <w:r w:rsidRPr="009F2D87">
        <w:rPr>
          <w:rFonts w:ascii="Tahoma" w:hAnsi="Tahoma" w:cs="Tahoma"/>
          <w:bCs/>
          <w:sz w:val="20"/>
        </w:rPr>
        <w:t xml:space="preserve"> </w:t>
      </w:r>
      <w:r>
        <w:rPr>
          <w:rFonts w:ascii="Tahoma" w:hAnsi="Tahoma" w:cs="Tahoma"/>
          <w:bCs/>
          <w:sz w:val="20"/>
        </w:rPr>
        <w:t>2,5 km.</w:t>
      </w:r>
    </w:p>
    <w:p w14:paraId="67FFE03B" w14:textId="24BD9EB5" w:rsidR="00C91A50" w:rsidRDefault="00C91A50" w:rsidP="004C2BCD">
      <w:pPr>
        <w:keepNext/>
        <w:keepLines/>
        <w:jc w:val="both"/>
        <w:rPr>
          <w:rFonts w:ascii="Tahoma" w:hAnsi="Tahoma" w:cs="Tahoma"/>
          <w:bCs/>
          <w:sz w:val="20"/>
        </w:rPr>
      </w:pPr>
    </w:p>
    <w:p w14:paraId="72677DE1" w14:textId="77777777" w:rsidR="00633277" w:rsidRPr="007D1E0B" w:rsidRDefault="00633277" w:rsidP="004C2BCD">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14:paraId="3EA599E3" w14:textId="77777777" w:rsidR="00633277" w:rsidRPr="00633277" w:rsidRDefault="00633277" w:rsidP="004C2BCD">
      <w:pPr>
        <w:keepNext/>
        <w:keepLines/>
        <w:jc w:val="both"/>
        <w:rPr>
          <w:rFonts w:ascii="Tahoma" w:hAnsi="Tahoma" w:cs="Tahoma"/>
          <w:bCs/>
          <w:sz w:val="20"/>
        </w:rPr>
      </w:pPr>
      <w:r w:rsidRPr="00633277">
        <w:rPr>
          <w:rFonts w:ascii="Tahoma" w:hAnsi="Tahoma" w:cs="Tahoma"/>
          <w:bCs/>
          <w:sz w:val="20"/>
        </w:rPr>
        <w:t>Pozivamo vas, da zahtevani povprečni letni promet ne omejujete samo na v primeru skupne ponudbe vodilnega partnerja, ampak, da dovolite, da se le ta sešteje med partnerji v skupni ponudbi. Tako boste dobili konkurenčne ponudbe.</w:t>
      </w:r>
    </w:p>
    <w:p w14:paraId="1378B9E4" w14:textId="5B2A21E0" w:rsidR="00633277" w:rsidRDefault="00633277" w:rsidP="004C2BCD">
      <w:pPr>
        <w:keepNext/>
        <w:keepLines/>
        <w:jc w:val="both"/>
        <w:rPr>
          <w:rFonts w:ascii="Tahoma" w:hAnsi="Tahoma" w:cs="Tahoma"/>
          <w:bCs/>
          <w:sz w:val="20"/>
        </w:rPr>
      </w:pPr>
    </w:p>
    <w:p w14:paraId="401E7F66" w14:textId="77777777" w:rsidR="00633277" w:rsidRPr="007D1E0B" w:rsidRDefault="00633277" w:rsidP="004C2BCD">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14:paraId="7A627C84" w14:textId="7DCEE4F9" w:rsidR="00633277" w:rsidRDefault="00633277" w:rsidP="004C2BCD">
      <w:pPr>
        <w:keepNext/>
        <w:keepLines/>
        <w:pBdr>
          <w:bottom w:val="single" w:sz="4" w:space="1" w:color="auto"/>
        </w:pBdr>
        <w:tabs>
          <w:tab w:val="left" w:pos="8505"/>
        </w:tabs>
        <w:jc w:val="both"/>
        <w:rPr>
          <w:rFonts w:ascii="Tahoma" w:hAnsi="Tahoma" w:cs="Tahoma"/>
          <w:bCs/>
          <w:sz w:val="20"/>
        </w:rPr>
      </w:pPr>
      <w:r w:rsidRPr="00086A4B">
        <w:rPr>
          <w:rFonts w:ascii="Tahoma" w:hAnsi="Tahoma" w:cs="Tahoma"/>
          <w:bCs/>
          <w:sz w:val="20"/>
        </w:rPr>
        <w:t>Naročnik zahtev</w:t>
      </w:r>
      <w:r>
        <w:rPr>
          <w:rFonts w:ascii="Tahoma" w:hAnsi="Tahoma" w:cs="Tahoma"/>
          <w:bCs/>
          <w:sz w:val="20"/>
        </w:rPr>
        <w:t xml:space="preserve">e glede povprečnega letnega prometa </w:t>
      </w:r>
      <w:r w:rsidRPr="00086A4B">
        <w:rPr>
          <w:rFonts w:ascii="Tahoma" w:hAnsi="Tahoma" w:cs="Tahoma"/>
          <w:bCs/>
          <w:sz w:val="20"/>
        </w:rPr>
        <w:t xml:space="preserve">ne bo </w:t>
      </w:r>
      <w:r>
        <w:rPr>
          <w:rFonts w:ascii="Tahoma" w:hAnsi="Tahoma" w:cs="Tahoma"/>
          <w:bCs/>
          <w:sz w:val="20"/>
        </w:rPr>
        <w:t>spreminjal.</w:t>
      </w:r>
    </w:p>
    <w:p w14:paraId="09EB25C7" w14:textId="42F7F2F8" w:rsidR="00633277" w:rsidRDefault="00633277" w:rsidP="004C2BCD">
      <w:pPr>
        <w:keepNext/>
        <w:keepLines/>
        <w:jc w:val="both"/>
        <w:rPr>
          <w:rFonts w:ascii="Tahoma" w:hAnsi="Tahoma" w:cs="Tahoma"/>
          <w:bCs/>
          <w:sz w:val="20"/>
        </w:rPr>
      </w:pPr>
    </w:p>
    <w:p w14:paraId="3708A2B4" w14:textId="77777777" w:rsidR="008C1962" w:rsidRPr="00D87D0D" w:rsidRDefault="008C1962" w:rsidP="004C2BCD">
      <w:pPr>
        <w:keepNext/>
        <w:keepLines/>
        <w:tabs>
          <w:tab w:val="left" w:pos="8505"/>
        </w:tabs>
        <w:jc w:val="both"/>
        <w:rPr>
          <w:rFonts w:ascii="Tahoma" w:hAnsi="Tahoma" w:cs="Tahoma"/>
          <w:color w:val="00B050"/>
          <w:sz w:val="20"/>
        </w:rPr>
      </w:pPr>
      <w:r w:rsidRPr="00D87D0D">
        <w:rPr>
          <w:rFonts w:ascii="Tahoma" w:hAnsi="Tahoma" w:cs="Tahoma"/>
          <w:color w:val="00B050"/>
          <w:sz w:val="20"/>
        </w:rPr>
        <w:t>SPREMEMBE RAZPISNE DOKUMENTACIJE:</w:t>
      </w:r>
    </w:p>
    <w:p w14:paraId="61569999" w14:textId="77777777" w:rsidR="008C1962" w:rsidRPr="00D87D0D" w:rsidRDefault="008C1962" w:rsidP="004C2BCD">
      <w:pPr>
        <w:keepNext/>
        <w:keepLines/>
        <w:rPr>
          <w:rFonts w:ascii="Tahoma" w:hAnsi="Tahoma" w:cs="Tahoma"/>
          <w:bCs/>
          <w:sz w:val="20"/>
        </w:rPr>
      </w:pPr>
      <w:r w:rsidRPr="00D87D0D">
        <w:rPr>
          <w:rFonts w:ascii="Tahoma" w:hAnsi="Tahoma" w:cs="Tahoma"/>
          <w:bCs/>
          <w:sz w:val="20"/>
        </w:rPr>
        <w:t>Naročnik spreminja razpisno dokumentacijo v naslednjih delih:</w:t>
      </w:r>
    </w:p>
    <w:p w14:paraId="1F693958" w14:textId="1258D2C3" w:rsidR="008C1962" w:rsidRDefault="008C1962" w:rsidP="004C2BCD">
      <w:pPr>
        <w:keepNext/>
        <w:keepLines/>
        <w:jc w:val="both"/>
        <w:rPr>
          <w:rFonts w:ascii="Tahoma" w:hAnsi="Tahoma" w:cs="Tahoma"/>
          <w:bCs/>
          <w:sz w:val="20"/>
        </w:rPr>
      </w:pPr>
    </w:p>
    <w:p w14:paraId="749A309E" w14:textId="3EA60E0C" w:rsidR="008C1962" w:rsidRPr="008C1962" w:rsidRDefault="008C1962" w:rsidP="004C2BCD">
      <w:pPr>
        <w:pStyle w:val="Odstavekseznama"/>
        <w:keepNext/>
        <w:keepLines/>
        <w:numPr>
          <w:ilvl w:val="0"/>
          <w:numId w:val="21"/>
        </w:numPr>
        <w:pBdr>
          <w:bottom w:val="single" w:sz="4" w:space="1" w:color="auto"/>
        </w:pBdr>
        <w:jc w:val="both"/>
        <w:rPr>
          <w:rFonts w:ascii="Tahoma" w:hAnsi="Tahoma" w:cs="Tahoma"/>
          <w:bCs/>
          <w:sz w:val="20"/>
        </w:rPr>
      </w:pPr>
      <w:r w:rsidRPr="008C1962">
        <w:rPr>
          <w:rFonts w:ascii="Tahoma" w:hAnsi="Tahoma" w:cs="Tahoma"/>
          <w:bCs/>
          <w:sz w:val="20"/>
        </w:rPr>
        <w:t>Naročnik</w:t>
      </w:r>
      <w:r w:rsidR="00FC0F3B">
        <w:rPr>
          <w:rFonts w:ascii="Tahoma" w:hAnsi="Tahoma" w:cs="Tahoma"/>
          <w:bCs/>
          <w:sz w:val="20"/>
        </w:rPr>
        <w:t xml:space="preserve"> je na </w:t>
      </w:r>
      <w:r w:rsidRPr="008C1962">
        <w:rPr>
          <w:rFonts w:ascii="Tahoma" w:hAnsi="Tahoma" w:cs="Tahoma"/>
          <w:bCs/>
          <w:sz w:val="20"/>
        </w:rPr>
        <w:t xml:space="preserve">svoji spletni strani </w:t>
      </w:r>
      <w:r w:rsidR="00FC0F3B">
        <w:rPr>
          <w:rFonts w:ascii="Tahoma" w:hAnsi="Tahoma" w:cs="Tahoma"/>
          <w:bCs/>
          <w:sz w:val="20"/>
        </w:rPr>
        <w:t xml:space="preserve">že </w:t>
      </w:r>
      <w:r w:rsidRPr="008C1962">
        <w:rPr>
          <w:rFonts w:ascii="Tahoma" w:hAnsi="Tahoma" w:cs="Tahoma"/>
          <w:bCs/>
          <w:sz w:val="20"/>
        </w:rPr>
        <w:t>objav</w:t>
      </w:r>
      <w:r w:rsidR="00FC0F3B">
        <w:rPr>
          <w:rFonts w:ascii="Tahoma" w:hAnsi="Tahoma" w:cs="Tahoma"/>
          <w:bCs/>
          <w:sz w:val="20"/>
        </w:rPr>
        <w:t>il</w:t>
      </w:r>
      <w:r w:rsidRPr="008C1962">
        <w:rPr>
          <w:rFonts w:ascii="Tahoma" w:hAnsi="Tahoma" w:cs="Tahoma"/>
          <w:bCs/>
          <w:sz w:val="20"/>
        </w:rPr>
        <w:t xml:space="preserve"> obrazec ESPD, pri čemer spreminja razpisno dokumentacijo na način, da ponudniki pogoje za sodelovanje izkažejo na način, da predložijo izpolnjen obrazec ESPD  </w:t>
      </w:r>
      <w:r w:rsidRPr="008C1962">
        <w:rPr>
          <w:rFonts w:ascii="Tahoma" w:hAnsi="Tahoma" w:cs="Tahoma"/>
          <w:sz w:val="20"/>
        </w:rPr>
        <w:t>(</w:t>
      </w:r>
      <w:r w:rsidRPr="008C1962">
        <w:rPr>
          <w:rFonts w:ascii="Tahoma" w:hAnsi="Tahoma" w:cs="Tahoma"/>
          <w:i/>
          <w:sz w:val="20"/>
        </w:rPr>
        <w:t>v »Del IV: Pogoji za sodelovanje, ɑ: Skupna navedba za vse pogoje za sodelovanje«</w:t>
      </w:r>
      <w:r w:rsidRPr="008C1962">
        <w:rPr>
          <w:rFonts w:ascii="Tahoma" w:hAnsi="Tahoma" w:cs="Tahoma"/>
          <w:sz w:val="20"/>
        </w:rPr>
        <w:t xml:space="preserve">) s strani vseh gospodarskih subjektov v </w:t>
      </w:r>
      <w:r w:rsidRPr="008C1962">
        <w:rPr>
          <w:rFonts w:ascii="Tahoma" w:hAnsi="Tahoma" w:cs="Tahoma"/>
          <w:bCs/>
          <w:sz w:val="20"/>
        </w:rPr>
        <w:t>prijavi (ponudbi)</w:t>
      </w:r>
      <w:r w:rsidRPr="008C1962">
        <w:rPr>
          <w:rFonts w:ascii="Tahoma" w:hAnsi="Tahoma" w:cs="Tahoma"/>
          <w:sz w:val="20"/>
        </w:rPr>
        <w:t xml:space="preserve"> ter predložijo vsa ostala dokazila, ki so zah</w:t>
      </w:r>
      <w:r>
        <w:rPr>
          <w:rFonts w:ascii="Tahoma" w:hAnsi="Tahoma" w:cs="Tahoma"/>
          <w:sz w:val="20"/>
        </w:rPr>
        <w:t>tevana v razpisni dokumentaciji;</w:t>
      </w:r>
    </w:p>
    <w:p w14:paraId="5E4A14CB" w14:textId="295D74A8" w:rsidR="00E47609" w:rsidRDefault="00E47609" w:rsidP="004C2BCD">
      <w:pPr>
        <w:keepNext/>
        <w:keepLines/>
        <w:jc w:val="both"/>
        <w:rPr>
          <w:rFonts w:ascii="Tahoma" w:hAnsi="Tahoma" w:cs="Tahoma"/>
          <w:bCs/>
          <w:sz w:val="20"/>
        </w:rPr>
      </w:pPr>
    </w:p>
    <w:p w14:paraId="5B0C9606" w14:textId="463A9A1E" w:rsidR="001E3612" w:rsidRDefault="001E3612" w:rsidP="004C2BCD">
      <w:pPr>
        <w:keepNext/>
        <w:keepLines/>
        <w:jc w:val="both"/>
        <w:rPr>
          <w:rFonts w:ascii="Tahoma" w:hAnsi="Tahoma" w:cs="Tahoma"/>
          <w:bCs/>
          <w:sz w:val="20"/>
        </w:rPr>
      </w:pPr>
      <w:r>
        <w:rPr>
          <w:rFonts w:ascii="Tahoma" w:hAnsi="Tahoma" w:cs="Tahoma"/>
          <w:bCs/>
          <w:sz w:val="20"/>
        </w:rPr>
        <w:t>Ponudniki morajo pri prip</w:t>
      </w:r>
      <w:r w:rsidR="00FA7A34">
        <w:rPr>
          <w:rFonts w:ascii="Tahoma" w:hAnsi="Tahoma" w:cs="Tahoma"/>
          <w:bCs/>
          <w:sz w:val="20"/>
        </w:rPr>
        <w:t xml:space="preserve">ravi ponudbe upoštevati </w:t>
      </w:r>
      <w:r w:rsidR="007D1E0B">
        <w:rPr>
          <w:rFonts w:ascii="Tahoma" w:hAnsi="Tahoma" w:cs="Tahoma"/>
          <w:bCs/>
          <w:sz w:val="20"/>
        </w:rPr>
        <w:t>odgovore na vprašanja in spremembe</w:t>
      </w:r>
      <w:r w:rsidR="00433EAA">
        <w:rPr>
          <w:rFonts w:ascii="Tahoma" w:hAnsi="Tahoma" w:cs="Tahoma"/>
          <w:bCs/>
          <w:sz w:val="20"/>
        </w:rPr>
        <w:t xml:space="preserve"> razpisne dokumentacije</w:t>
      </w:r>
      <w:r>
        <w:rPr>
          <w:rFonts w:ascii="Tahoma" w:hAnsi="Tahoma" w:cs="Tahoma"/>
          <w:bCs/>
          <w:sz w:val="20"/>
        </w:rPr>
        <w:t xml:space="preserve"> z </w:t>
      </w:r>
      <w:r w:rsidRPr="009D10CB">
        <w:rPr>
          <w:rFonts w:ascii="Tahoma" w:hAnsi="Tahoma" w:cs="Tahoma"/>
          <w:bCs/>
          <w:sz w:val="20"/>
        </w:rPr>
        <w:t xml:space="preserve">dne </w:t>
      </w:r>
      <w:r w:rsidR="00AC7296">
        <w:rPr>
          <w:rFonts w:ascii="Tahoma" w:hAnsi="Tahoma" w:cs="Tahoma"/>
          <w:bCs/>
          <w:sz w:val="20"/>
        </w:rPr>
        <w:t>1. 9</w:t>
      </w:r>
      <w:r w:rsidR="00C91A50">
        <w:rPr>
          <w:rFonts w:ascii="Tahoma" w:hAnsi="Tahoma" w:cs="Tahoma"/>
          <w:bCs/>
          <w:sz w:val="20"/>
        </w:rPr>
        <w:t>. 2020</w:t>
      </w:r>
      <w:r w:rsidRPr="009D10CB">
        <w:rPr>
          <w:rFonts w:ascii="Tahoma" w:hAnsi="Tahoma" w:cs="Tahoma"/>
          <w:bCs/>
          <w:sz w:val="20"/>
        </w:rPr>
        <w:t>,</w:t>
      </w:r>
      <w:r w:rsidR="00FA7A34">
        <w:rPr>
          <w:rFonts w:ascii="Tahoma" w:hAnsi="Tahoma" w:cs="Tahoma"/>
          <w:bCs/>
          <w:sz w:val="20"/>
        </w:rPr>
        <w:t xml:space="preserve"> ki je bil</w:t>
      </w:r>
      <w:r w:rsidR="00433EAA">
        <w:rPr>
          <w:rFonts w:ascii="Tahoma" w:hAnsi="Tahoma" w:cs="Tahoma"/>
          <w:bCs/>
          <w:sz w:val="20"/>
        </w:rPr>
        <w:t>a</w:t>
      </w:r>
      <w:r w:rsidR="00FA7A34">
        <w:rPr>
          <w:rFonts w:ascii="Tahoma" w:hAnsi="Tahoma" w:cs="Tahoma"/>
          <w:bCs/>
          <w:sz w:val="20"/>
        </w:rPr>
        <w:t xml:space="preserve"> objavljen</w:t>
      </w:r>
      <w:r w:rsidR="00433EAA">
        <w:rPr>
          <w:rFonts w:ascii="Tahoma" w:hAnsi="Tahoma" w:cs="Tahoma"/>
          <w:bCs/>
          <w:sz w:val="20"/>
        </w:rPr>
        <w:t>a</w:t>
      </w:r>
      <w:r>
        <w:rPr>
          <w:rFonts w:ascii="Tahoma" w:hAnsi="Tahoma" w:cs="Tahoma"/>
          <w:bCs/>
          <w:sz w:val="20"/>
        </w:rPr>
        <w:t xml:space="preserve"> na spletni strani naročnika in na Portalu javnih naročil.</w:t>
      </w:r>
      <w:bookmarkStart w:id="0" w:name="_GoBack"/>
      <w:bookmarkEnd w:id="0"/>
      <w:r>
        <w:rPr>
          <w:rFonts w:ascii="Tahoma" w:hAnsi="Tahoma" w:cs="Tahoma"/>
          <w:bCs/>
          <w:sz w:val="20"/>
        </w:rPr>
        <w:t xml:space="preserve"> </w:t>
      </w:r>
    </w:p>
    <w:p w14:paraId="0CE43BB3" w14:textId="77777777" w:rsidR="00987755" w:rsidRDefault="00987755" w:rsidP="004C2BCD">
      <w:pPr>
        <w:keepNext/>
        <w:keepLines/>
        <w:rPr>
          <w:rFonts w:ascii="Tahoma" w:hAnsi="Tahoma" w:cs="Tahoma"/>
          <w:bCs/>
          <w:sz w:val="20"/>
        </w:rPr>
      </w:pPr>
    </w:p>
    <w:p w14:paraId="2AD2FB80" w14:textId="77777777" w:rsidR="00856BAF" w:rsidRDefault="00856BAF" w:rsidP="004C2BCD">
      <w:pPr>
        <w:keepNext/>
        <w:keepLines/>
        <w:rPr>
          <w:rFonts w:ascii="Tahoma" w:hAnsi="Tahoma" w:cs="Tahoma"/>
          <w:bCs/>
          <w:sz w:val="20"/>
        </w:rPr>
      </w:pPr>
    </w:p>
    <w:p w14:paraId="7B071D30" w14:textId="77777777" w:rsidR="00D02474" w:rsidRDefault="00B8409C" w:rsidP="004C2BCD">
      <w:pPr>
        <w:keepNext/>
        <w:keepLines/>
        <w:rPr>
          <w:rFonts w:ascii="Tahoma" w:hAnsi="Tahoma" w:cs="Tahoma"/>
          <w:bCs/>
          <w:sz w:val="20"/>
        </w:rPr>
      </w:pPr>
      <w:r w:rsidRPr="009F4FFF">
        <w:rPr>
          <w:rFonts w:ascii="Tahoma" w:hAnsi="Tahoma" w:cs="Tahoma"/>
          <w:bCs/>
          <w:sz w:val="20"/>
        </w:rPr>
        <w:t>Lepo pozdravljeni!</w:t>
      </w:r>
    </w:p>
    <w:p w14:paraId="5AF7A369" w14:textId="77777777" w:rsidR="001C7004" w:rsidRPr="009F4FFF" w:rsidRDefault="00B8409C" w:rsidP="004C2BCD">
      <w:pPr>
        <w:keepNext/>
        <w:keepLines/>
        <w:rPr>
          <w:rFonts w:ascii="Tahoma" w:hAnsi="Tahoma" w:cs="Tahoma"/>
          <w:sz w:val="20"/>
        </w:rPr>
      </w:pPr>
      <w:r w:rsidRPr="009F4FFF">
        <w:rPr>
          <w:rFonts w:ascii="Tahoma" w:hAnsi="Tahoma" w:cs="Tahoma"/>
          <w:sz w:val="20"/>
        </w:rPr>
        <w:tab/>
      </w:r>
    </w:p>
    <w:p w14:paraId="6944DF6A" w14:textId="77777777" w:rsidR="00B8409C" w:rsidRPr="009F4FFF" w:rsidRDefault="00B8409C" w:rsidP="004C2BCD">
      <w:pPr>
        <w:keepNext/>
        <w:keepLines/>
        <w:ind w:left="5387"/>
        <w:rPr>
          <w:rFonts w:ascii="Tahoma" w:hAnsi="Tahoma" w:cs="Tahoma"/>
          <w:sz w:val="20"/>
        </w:rPr>
      </w:pPr>
      <w:r w:rsidRPr="009F4FFF">
        <w:rPr>
          <w:rFonts w:ascii="Tahoma" w:hAnsi="Tahoma" w:cs="Tahoma"/>
          <w:sz w:val="20"/>
        </w:rPr>
        <w:t>JAVNI HOLDING Ljubljana, d.o.o.</w:t>
      </w:r>
    </w:p>
    <w:p w14:paraId="123BD168" w14:textId="2051E925" w:rsidR="007D6B63" w:rsidRDefault="00B8409C" w:rsidP="004C2BCD">
      <w:pPr>
        <w:keepNext/>
        <w:keepLines/>
        <w:ind w:left="5387"/>
        <w:rPr>
          <w:rFonts w:ascii="Tahoma" w:hAnsi="Tahoma" w:cs="Tahoma"/>
          <w:sz w:val="20"/>
        </w:rPr>
      </w:pPr>
      <w:r w:rsidRPr="009F4FFF">
        <w:rPr>
          <w:rFonts w:ascii="Tahoma" w:hAnsi="Tahoma" w:cs="Tahoma"/>
          <w:sz w:val="20"/>
        </w:rPr>
        <w:t>Sektor za javna naročila</w:t>
      </w:r>
    </w:p>
    <w:p w14:paraId="0169F24F" w14:textId="1CE51AB7" w:rsidR="004C2BCD" w:rsidRDefault="004C2BCD" w:rsidP="004C2BCD">
      <w:pPr>
        <w:keepNext/>
        <w:keepLines/>
        <w:ind w:left="5387"/>
        <w:rPr>
          <w:rFonts w:ascii="Tahoma" w:hAnsi="Tahoma" w:cs="Tahoma"/>
          <w:sz w:val="20"/>
        </w:rPr>
      </w:pPr>
    </w:p>
    <w:p w14:paraId="1C3E8F69" w14:textId="2670A8E2" w:rsidR="004C2BCD" w:rsidRDefault="004C2BCD" w:rsidP="004C2BCD">
      <w:pPr>
        <w:keepNext/>
        <w:keepLines/>
        <w:ind w:left="5387"/>
        <w:rPr>
          <w:rFonts w:ascii="Tahoma" w:hAnsi="Tahoma" w:cs="Tahoma"/>
          <w:sz w:val="20"/>
        </w:rPr>
      </w:pPr>
    </w:p>
    <w:p w14:paraId="4B0BB8E6" w14:textId="7F3810A9" w:rsidR="004C2BCD" w:rsidRDefault="004C2BCD" w:rsidP="004C2BCD">
      <w:pPr>
        <w:keepNext/>
        <w:keepLines/>
        <w:ind w:left="5387"/>
        <w:rPr>
          <w:rFonts w:ascii="Tahoma" w:hAnsi="Tahoma" w:cs="Tahoma"/>
          <w:sz w:val="20"/>
        </w:rPr>
      </w:pPr>
    </w:p>
    <w:p w14:paraId="24E4191C" w14:textId="74ABD4E6" w:rsidR="004C2BCD" w:rsidRDefault="004C2BCD" w:rsidP="004C2BCD">
      <w:pPr>
        <w:keepNext/>
        <w:keepLines/>
        <w:ind w:left="5387"/>
        <w:rPr>
          <w:rFonts w:ascii="Tahoma" w:hAnsi="Tahoma" w:cs="Tahoma"/>
          <w:sz w:val="20"/>
        </w:rPr>
      </w:pPr>
    </w:p>
    <w:p w14:paraId="7F1362E1" w14:textId="5672623D" w:rsidR="004C2BCD" w:rsidRDefault="004C2BCD" w:rsidP="004C2BCD">
      <w:pPr>
        <w:keepNext/>
        <w:keepLines/>
        <w:ind w:left="5387"/>
        <w:rPr>
          <w:rFonts w:ascii="Tahoma" w:hAnsi="Tahoma" w:cs="Tahoma"/>
          <w:sz w:val="20"/>
        </w:rPr>
      </w:pPr>
    </w:p>
    <w:p w14:paraId="7D2FA52F" w14:textId="343876E9" w:rsidR="004C2BCD" w:rsidRDefault="004C2BCD" w:rsidP="004C2BCD">
      <w:pPr>
        <w:keepNext/>
        <w:keepLines/>
        <w:ind w:left="5387"/>
        <w:rPr>
          <w:rFonts w:ascii="Tahoma" w:hAnsi="Tahoma" w:cs="Tahoma"/>
          <w:sz w:val="20"/>
        </w:rPr>
      </w:pPr>
    </w:p>
    <w:p w14:paraId="110B7DF4" w14:textId="77777777" w:rsidR="004C2BCD" w:rsidRDefault="004C2BCD" w:rsidP="004C2BCD">
      <w:pPr>
        <w:keepNext/>
        <w:keepLines/>
        <w:ind w:left="5387"/>
        <w:rPr>
          <w:rFonts w:ascii="Tahoma" w:hAnsi="Tahoma" w:cs="Tahoma"/>
          <w:sz w:val="20"/>
        </w:rPr>
      </w:pPr>
    </w:p>
    <w:sectPr w:rsidR="004C2BCD"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479B" w14:textId="77777777" w:rsidR="005C2C33" w:rsidRDefault="005C2C33">
      <w:r>
        <w:separator/>
      </w:r>
    </w:p>
  </w:endnote>
  <w:endnote w:type="continuationSeparator" w:id="0">
    <w:p w14:paraId="4E3F90D2" w14:textId="77777777" w:rsidR="005C2C33" w:rsidRDefault="005C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8AAC" w14:textId="77777777" w:rsidR="005C2C33" w:rsidRDefault="005C2C33" w:rsidP="00B366C6">
    <w:pPr>
      <w:pStyle w:val="Noga"/>
      <w:jc w:val="right"/>
    </w:pPr>
  </w:p>
  <w:p w14:paraId="4701A69A" w14:textId="77777777" w:rsidR="005C2C33" w:rsidRDefault="005C2C33" w:rsidP="00B366C6">
    <w:pPr>
      <w:pStyle w:val="Noga"/>
      <w:ind w:right="-1134"/>
      <w:jc w:val="right"/>
    </w:pPr>
    <w:r>
      <w:rPr>
        <w:noProof/>
      </w:rPr>
      <w:drawing>
        <wp:inline distT="0" distB="0" distL="0" distR="0" wp14:anchorId="042E62A5" wp14:editId="028AFE2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25612BAD" w14:textId="008BEC2B" w:rsidR="005C2C33" w:rsidRDefault="005C2C33"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C7296">
      <w:rPr>
        <w:noProof/>
        <w:sz w:val="16"/>
        <w:szCs w:val="16"/>
      </w:rPr>
      <w:t>5</w:t>
    </w:r>
    <w:r w:rsidRPr="00394716">
      <w:rPr>
        <w:sz w:val="16"/>
        <w:szCs w:val="16"/>
      </w:rPr>
      <w:fldChar w:fldCharType="end"/>
    </w:r>
  </w:p>
  <w:p w14:paraId="1BD55B80" w14:textId="77777777" w:rsidR="005C2C33" w:rsidRDefault="005C2C33" w:rsidP="00B366C6">
    <w:pPr>
      <w:pStyle w:val="Noga"/>
      <w:jc w:val="center"/>
      <w:rPr>
        <w:sz w:val="16"/>
        <w:szCs w:val="16"/>
      </w:rPr>
    </w:pPr>
  </w:p>
  <w:p w14:paraId="6323F432" w14:textId="77777777" w:rsidR="005C2C33" w:rsidRDefault="005C2C33" w:rsidP="00B366C6">
    <w:pPr>
      <w:pStyle w:val="Noga"/>
      <w:jc w:val="center"/>
      <w:rPr>
        <w:sz w:val="16"/>
        <w:szCs w:val="16"/>
      </w:rPr>
    </w:pPr>
  </w:p>
  <w:p w14:paraId="755C12EE" w14:textId="77777777" w:rsidR="005C2C33" w:rsidRPr="00394716" w:rsidRDefault="005C2C33"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E16C" w14:textId="77777777" w:rsidR="005C2C33" w:rsidRPr="004D3E89" w:rsidRDefault="005C2C33"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08EA368E" wp14:editId="1C3B9099">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AD19" w14:textId="77777777" w:rsidR="005C2C33" w:rsidRDefault="005C2C33">
      <w:r>
        <w:separator/>
      </w:r>
    </w:p>
  </w:footnote>
  <w:footnote w:type="continuationSeparator" w:id="0">
    <w:p w14:paraId="55C51806" w14:textId="77777777" w:rsidR="005C2C33" w:rsidRDefault="005C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371F" w14:textId="77777777" w:rsidR="005C2C33" w:rsidRDefault="005C2C33" w:rsidP="00B366C6">
    <w:pPr>
      <w:pStyle w:val="Glava"/>
      <w:tabs>
        <w:tab w:val="clear" w:pos="4536"/>
        <w:tab w:val="center" w:pos="4678"/>
      </w:tabs>
    </w:pPr>
    <w:r>
      <w:tab/>
    </w:r>
    <w:r>
      <w:rPr>
        <w:noProof/>
      </w:rPr>
      <w:drawing>
        <wp:inline distT="0" distB="0" distL="0" distR="0" wp14:anchorId="3F7CDAF5" wp14:editId="33E8C731">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B934" w14:textId="55580CCF" w:rsidR="005C2C33" w:rsidRDefault="004C2BCD" w:rsidP="00B366C6">
    <w:pPr>
      <w:pStyle w:val="Glava"/>
      <w:tabs>
        <w:tab w:val="clear" w:pos="4536"/>
        <w:tab w:val="center" w:pos="7655"/>
      </w:tabs>
      <w:ind w:right="-1133"/>
    </w:pPr>
    <w:r w:rsidRPr="004C2BCD">
      <w:rPr>
        <w:rFonts w:ascii="Tahoma" w:hAnsi="Tahoma" w:cs="Tahoma"/>
        <w:noProof/>
        <w:sz w:val="20"/>
      </w:rPr>
      <w:drawing>
        <wp:inline distT="0" distB="0" distL="0" distR="0" wp14:anchorId="2DF03C63" wp14:editId="7777B424">
          <wp:extent cx="2608028" cy="1262722"/>
          <wp:effectExtent l="0" t="0" r="1905" b="0"/>
          <wp:docPr id="2" name="Slika 2" descr="G:\JHL\2020\JHL-13-20 Črna vas\logo - evropski sklad za regionalni razv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HL\2020\JHL-13-20 Črna vas\logo - evropski sklad za regionalni razvo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341" cy="1350992"/>
                  </a:xfrm>
                  <a:prstGeom prst="rect">
                    <a:avLst/>
                  </a:prstGeom>
                  <a:noFill/>
                  <a:ln>
                    <a:noFill/>
                  </a:ln>
                </pic:spPr>
              </pic:pic>
            </a:graphicData>
          </a:graphic>
        </wp:inline>
      </w:drawing>
    </w:r>
    <w:r w:rsidR="005C2C33">
      <w:tab/>
    </w:r>
    <w:r w:rsidR="005C2C33">
      <w:rPr>
        <w:noProof/>
      </w:rPr>
      <w:drawing>
        <wp:inline distT="0" distB="0" distL="0" distR="0" wp14:anchorId="2943F595" wp14:editId="7E4F7B3A">
          <wp:extent cx="3389437" cy="1689669"/>
          <wp:effectExtent l="0" t="0" r="1905" b="635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72" cy="1696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2"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5" w15:restartNumberingAfterBreak="0">
    <w:nsid w:val="55281FB7"/>
    <w:multiLevelType w:val="hybridMultilevel"/>
    <w:tmpl w:val="EC946EC4"/>
    <w:lvl w:ilvl="0" w:tplc="EA9E37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1"/>
  </w:num>
  <w:num w:numId="5">
    <w:abstractNumId w:val="9"/>
  </w:num>
  <w:num w:numId="6">
    <w:abstractNumId w:val="1"/>
  </w:num>
  <w:num w:numId="7">
    <w:abstractNumId w:val="6"/>
  </w:num>
  <w:num w:numId="8">
    <w:abstractNumId w:val="12"/>
  </w:num>
  <w:num w:numId="9">
    <w:abstractNumId w:val="3"/>
  </w:num>
  <w:num w:numId="10">
    <w:abstractNumId w:val="4"/>
  </w:num>
  <w:num w:numId="11">
    <w:abstractNumId w:val="2"/>
  </w:num>
  <w:num w:numId="12">
    <w:abstractNumId w:val="1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4"/>
  </w:num>
  <w:num w:numId="15">
    <w:abstractNumId w:val="7"/>
  </w:num>
  <w:num w:numId="16">
    <w:abstractNumId w:val="16"/>
  </w:num>
  <w:num w:numId="17">
    <w:abstractNumId w:val="5"/>
  </w:num>
  <w:num w:numId="18">
    <w:abstractNumId w:val="11"/>
  </w:num>
  <w:num w:numId="19">
    <w:abstractNumId w:val="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86A4B"/>
    <w:rsid w:val="000930B2"/>
    <w:rsid w:val="000A0899"/>
    <w:rsid w:val="000B5827"/>
    <w:rsid w:val="000B6B43"/>
    <w:rsid w:val="000C0D02"/>
    <w:rsid w:val="000D4BCF"/>
    <w:rsid w:val="000E7AFC"/>
    <w:rsid w:val="00102EFB"/>
    <w:rsid w:val="00105CC8"/>
    <w:rsid w:val="0010611D"/>
    <w:rsid w:val="00110C57"/>
    <w:rsid w:val="00116F7D"/>
    <w:rsid w:val="00130EEE"/>
    <w:rsid w:val="001376D1"/>
    <w:rsid w:val="00141500"/>
    <w:rsid w:val="00175FEC"/>
    <w:rsid w:val="001870F9"/>
    <w:rsid w:val="001A043C"/>
    <w:rsid w:val="001B0253"/>
    <w:rsid w:val="001B482F"/>
    <w:rsid w:val="001C238D"/>
    <w:rsid w:val="001C3585"/>
    <w:rsid w:val="001C7004"/>
    <w:rsid w:val="001D4454"/>
    <w:rsid w:val="001E0C98"/>
    <w:rsid w:val="001E278D"/>
    <w:rsid w:val="001E3612"/>
    <w:rsid w:val="001E3A81"/>
    <w:rsid w:val="001E5AE6"/>
    <w:rsid w:val="00224FE4"/>
    <w:rsid w:val="0023671E"/>
    <w:rsid w:val="0024176C"/>
    <w:rsid w:val="00242234"/>
    <w:rsid w:val="0026294B"/>
    <w:rsid w:val="00276E21"/>
    <w:rsid w:val="00284842"/>
    <w:rsid w:val="00285099"/>
    <w:rsid w:val="00291CD6"/>
    <w:rsid w:val="00292109"/>
    <w:rsid w:val="002B79EA"/>
    <w:rsid w:val="002C255A"/>
    <w:rsid w:val="002C5152"/>
    <w:rsid w:val="002D4294"/>
    <w:rsid w:val="002F08A1"/>
    <w:rsid w:val="002F2ED9"/>
    <w:rsid w:val="00302BF5"/>
    <w:rsid w:val="00322F75"/>
    <w:rsid w:val="00347E70"/>
    <w:rsid w:val="0035130B"/>
    <w:rsid w:val="00354D59"/>
    <w:rsid w:val="00366A57"/>
    <w:rsid w:val="00366F2D"/>
    <w:rsid w:val="003731D5"/>
    <w:rsid w:val="00387F4F"/>
    <w:rsid w:val="0039059B"/>
    <w:rsid w:val="00391DD6"/>
    <w:rsid w:val="00396E64"/>
    <w:rsid w:val="00396E89"/>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50DB9"/>
    <w:rsid w:val="00451A99"/>
    <w:rsid w:val="0045541F"/>
    <w:rsid w:val="0047542C"/>
    <w:rsid w:val="00482216"/>
    <w:rsid w:val="004A38F0"/>
    <w:rsid w:val="004B0BE1"/>
    <w:rsid w:val="004B78F7"/>
    <w:rsid w:val="004C2BCD"/>
    <w:rsid w:val="004D3E89"/>
    <w:rsid w:val="004D64A2"/>
    <w:rsid w:val="00527CAB"/>
    <w:rsid w:val="0053291B"/>
    <w:rsid w:val="00540009"/>
    <w:rsid w:val="0057721D"/>
    <w:rsid w:val="00583FEE"/>
    <w:rsid w:val="00590DD0"/>
    <w:rsid w:val="00597FE2"/>
    <w:rsid w:val="005C2C33"/>
    <w:rsid w:val="005C2DB5"/>
    <w:rsid w:val="005C2DB7"/>
    <w:rsid w:val="005D2112"/>
    <w:rsid w:val="005E7331"/>
    <w:rsid w:val="00600300"/>
    <w:rsid w:val="0062320B"/>
    <w:rsid w:val="00624A8F"/>
    <w:rsid w:val="00633277"/>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30049"/>
    <w:rsid w:val="00762732"/>
    <w:rsid w:val="00763D0C"/>
    <w:rsid w:val="00764CDA"/>
    <w:rsid w:val="007661F5"/>
    <w:rsid w:val="00766924"/>
    <w:rsid w:val="0077022A"/>
    <w:rsid w:val="007A258F"/>
    <w:rsid w:val="007B175D"/>
    <w:rsid w:val="007C3B30"/>
    <w:rsid w:val="007C494E"/>
    <w:rsid w:val="007D1E0B"/>
    <w:rsid w:val="007D6B63"/>
    <w:rsid w:val="007E1A3B"/>
    <w:rsid w:val="007E69D1"/>
    <w:rsid w:val="007F0CFD"/>
    <w:rsid w:val="007F402F"/>
    <w:rsid w:val="00800D88"/>
    <w:rsid w:val="008105EE"/>
    <w:rsid w:val="00821F95"/>
    <w:rsid w:val="00827506"/>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1962"/>
    <w:rsid w:val="008C5175"/>
    <w:rsid w:val="008C6040"/>
    <w:rsid w:val="008C7107"/>
    <w:rsid w:val="008E5557"/>
    <w:rsid w:val="0090455C"/>
    <w:rsid w:val="0092040B"/>
    <w:rsid w:val="00927AAE"/>
    <w:rsid w:val="00931EA9"/>
    <w:rsid w:val="009328DB"/>
    <w:rsid w:val="009432A3"/>
    <w:rsid w:val="0094583D"/>
    <w:rsid w:val="00951688"/>
    <w:rsid w:val="00962839"/>
    <w:rsid w:val="00981B37"/>
    <w:rsid w:val="0098200D"/>
    <w:rsid w:val="009843AA"/>
    <w:rsid w:val="0098504A"/>
    <w:rsid w:val="00987755"/>
    <w:rsid w:val="00991DF6"/>
    <w:rsid w:val="00993435"/>
    <w:rsid w:val="00993C58"/>
    <w:rsid w:val="009947C8"/>
    <w:rsid w:val="00994C9B"/>
    <w:rsid w:val="009A3E80"/>
    <w:rsid w:val="009B3BE0"/>
    <w:rsid w:val="009B7791"/>
    <w:rsid w:val="009D10CB"/>
    <w:rsid w:val="009D2BDE"/>
    <w:rsid w:val="009F166F"/>
    <w:rsid w:val="009F2D87"/>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9638B"/>
    <w:rsid w:val="00AB4DCC"/>
    <w:rsid w:val="00AC326A"/>
    <w:rsid w:val="00AC4B28"/>
    <w:rsid w:val="00AC7296"/>
    <w:rsid w:val="00B24134"/>
    <w:rsid w:val="00B366C6"/>
    <w:rsid w:val="00B376D0"/>
    <w:rsid w:val="00B66D3B"/>
    <w:rsid w:val="00B70739"/>
    <w:rsid w:val="00B810C1"/>
    <w:rsid w:val="00B81112"/>
    <w:rsid w:val="00B8409C"/>
    <w:rsid w:val="00B941B6"/>
    <w:rsid w:val="00B95E5E"/>
    <w:rsid w:val="00BA21B1"/>
    <w:rsid w:val="00BC4AA4"/>
    <w:rsid w:val="00BC4B0F"/>
    <w:rsid w:val="00BD476F"/>
    <w:rsid w:val="00BE4EA5"/>
    <w:rsid w:val="00C02F06"/>
    <w:rsid w:val="00C06DFC"/>
    <w:rsid w:val="00C149B1"/>
    <w:rsid w:val="00C2057A"/>
    <w:rsid w:val="00C2152A"/>
    <w:rsid w:val="00C23200"/>
    <w:rsid w:val="00C31762"/>
    <w:rsid w:val="00C5370C"/>
    <w:rsid w:val="00C6393E"/>
    <w:rsid w:val="00C73A78"/>
    <w:rsid w:val="00C91A50"/>
    <w:rsid w:val="00CA4F0B"/>
    <w:rsid w:val="00CB065C"/>
    <w:rsid w:val="00CB702E"/>
    <w:rsid w:val="00CB77D3"/>
    <w:rsid w:val="00CE083B"/>
    <w:rsid w:val="00CE4D71"/>
    <w:rsid w:val="00CF4117"/>
    <w:rsid w:val="00D02474"/>
    <w:rsid w:val="00D03AF4"/>
    <w:rsid w:val="00D22D80"/>
    <w:rsid w:val="00D310AC"/>
    <w:rsid w:val="00D37B43"/>
    <w:rsid w:val="00D558BF"/>
    <w:rsid w:val="00D5592D"/>
    <w:rsid w:val="00D57FE9"/>
    <w:rsid w:val="00D62091"/>
    <w:rsid w:val="00D677F7"/>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7609"/>
    <w:rsid w:val="00E4765E"/>
    <w:rsid w:val="00E53473"/>
    <w:rsid w:val="00E5591D"/>
    <w:rsid w:val="00E60036"/>
    <w:rsid w:val="00E64E12"/>
    <w:rsid w:val="00E66AA0"/>
    <w:rsid w:val="00E762FD"/>
    <w:rsid w:val="00E848F6"/>
    <w:rsid w:val="00E91E08"/>
    <w:rsid w:val="00EA1F92"/>
    <w:rsid w:val="00EA7CE1"/>
    <w:rsid w:val="00ED2035"/>
    <w:rsid w:val="00EE78E3"/>
    <w:rsid w:val="00F14403"/>
    <w:rsid w:val="00F41DF6"/>
    <w:rsid w:val="00F4418F"/>
    <w:rsid w:val="00F478C8"/>
    <w:rsid w:val="00F5336C"/>
    <w:rsid w:val="00F543E6"/>
    <w:rsid w:val="00F759FD"/>
    <w:rsid w:val="00F801AD"/>
    <w:rsid w:val="00F81EDE"/>
    <w:rsid w:val="00F859FE"/>
    <w:rsid w:val="00F945FB"/>
    <w:rsid w:val="00F94BBF"/>
    <w:rsid w:val="00FA1A43"/>
    <w:rsid w:val="00FA57FE"/>
    <w:rsid w:val="00FA5AE7"/>
    <w:rsid w:val="00FA7A34"/>
    <w:rsid w:val="00FB07AA"/>
    <w:rsid w:val="00FB71A7"/>
    <w:rsid w:val="00FC0F3B"/>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67BCCCA"/>
  <w15:docId w15:val="{13593D0E-784D-4476-81E1-556648CC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E69D1"/>
    <w:rPr>
      <w:sz w:val="16"/>
      <w:szCs w:val="16"/>
    </w:rPr>
  </w:style>
  <w:style w:type="paragraph" w:styleId="Pripombabesedilo">
    <w:name w:val="annotation text"/>
    <w:basedOn w:val="Navaden"/>
    <w:link w:val="PripombabesediloZnak"/>
    <w:uiPriority w:val="99"/>
    <w:semiHidden/>
    <w:unhideWhenUsed/>
    <w:rsid w:val="007E69D1"/>
    <w:rPr>
      <w:sz w:val="20"/>
    </w:rPr>
  </w:style>
  <w:style w:type="character" w:customStyle="1" w:styleId="PripombabesediloZnak">
    <w:name w:val="Pripomba – besedilo Znak"/>
    <w:basedOn w:val="Privzetapisavaodstavka"/>
    <w:link w:val="Pripombabesedilo"/>
    <w:uiPriority w:val="99"/>
    <w:semiHidden/>
    <w:rsid w:val="007E69D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69D1"/>
    <w:rPr>
      <w:b/>
      <w:bCs/>
    </w:rPr>
  </w:style>
  <w:style w:type="character" w:customStyle="1" w:styleId="ZadevapripombeZnak">
    <w:name w:val="Zadeva pripombe Znak"/>
    <w:basedOn w:val="PripombabesediloZnak"/>
    <w:link w:val="Zadevapripombe"/>
    <w:uiPriority w:val="99"/>
    <w:semiHidden/>
    <w:rsid w:val="007E69D1"/>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26113138">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8107">
      <w:bodyDiv w:val="1"/>
      <w:marLeft w:val="0"/>
      <w:marRight w:val="0"/>
      <w:marTop w:val="0"/>
      <w:marBottom w:val="0"/>
      <w:divBdr>
        <w:top w:val="none" w:sz="0" w:space="0" w:color="auto"/>
        <w:left w:val="none" w:sz="0" w:space="0" w:color="auto"/>
        <w:bottom w:val="none" w:sz="0" w:space="0" w:color="auto"/>
        <w:right w:val="none" w:sz="0" w:space="0" w:color="auto"/>
      </w:divBdr>
    </w:div>
    <w:div w:id="312492613">
      <w:bodyDiv w:val="1"/>
      <w:marLeft w:val="0"/>
      <w:marRight w:val="0"/>
      <w:marTop w:val="0"/>
      <w:marBottom w:val="0"/>
      <w:divBdr>
        <w:top w:val="none" w:sz="0" w:space="0" w:color="auto"/>
        <w:left w:val="none" w:sz="0" w:space="0" w:color="auto"/>
        <w:bottom w:val="none" w:sz="0" w:space="0" w:color="auto"/>
        <w:right w:val="none" w:sz="0" w:space="0" w:color="auto"/>
      </w:divBdr>
    </w:div>
    <w:div w:id="343165222">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19842">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83761084">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16035487">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14003846">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1853">
      <w:bodyDiv w:val="1"/>
      <w:marLeft w:val="0"/>
      <w:marRight w:val="0"/>
      <w:marTop w:val="0"/>
      <w:marBottom w:val="0"/>
      <w:divBdr>
        <w:top w:val="none" w:sz="0" w:space="0" w:color="auto"/>
        <w:left w:val="none" w:sz="0" w:space="0" w:color="auto"/>
        <w:bottom w:val="none" w:sz="0" w:space="0" w:color="auto"/>
        <w:right w:val="none" w:sz="0" w:space="0" w:color="auto"/>
      </w:divBdr>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83217">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3728149">
      <w:bodyDiv w:val="1"/>
      <w:marLeft w:val="0"/>
      <w:marRight w:val="0"/>
      <w:marTop w:val="0"/>
      <w:marBottom w:val="0"/>
      <w:divBdr>
        <w:top w:val="none" w:sz="0" w:space="0" w:color="auto"/>
        <w:left w:val="none" w:sz="0" w:space="0" w:color="auto"/>
        <w:bottom w:val="none" w:sz="0" w:space="0" w:color="auto"/>
        <w:right w:val="none" w:sz="0" w:space="0" w:color="auto"/>
      </w:divBdr>
    </w:div>
    <w:div w:id="1657958207">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6804568">
      <w:bodyDiv w:val="1"/>
      <w:marLeft w:val="0"/>
      <w:marRight w:val="0"/>
      <w:marTop w:val="0"/>
      <w:marBottom w:val="0"/>
      <w:divBdr>
        <w:top w:val="none" w:sz="0" w:space="0" w:color="auto"/>
        <w:left w:val="none" w:sz="0" w:space="0" w:color="auto"/>
        <w:bottom w:val="none" w:sz="0" w:space="0" w:color="auto"/>
        <w:right w:val="none" w:sz="0" w:space="0" w:color="auto"/>
      </w:divBdr>
    </w:div>
    <w:div w:id="1770153942">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197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88336021">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45270865">
      <w:bodyDiv w:val="1"/>
      <w:marLeft w:val="0"/>
      <w:marRight w:val="0"/>
      <w:marTop w:val="0"/>
      <w:marBottom w:val="0"/>
      <w:divBdr>
        <w:top w:val="none" w:sz="0" w:space="0" w:color="auto"/>
        <w:left w:val="none" w:sz="0" w:space="0" w:color="auto"/>
        <w:bottom w:val="none" w:sz="0" w:space="0" w:color="auto"/>
        <w:right w:val="none" w:sz="0" w:space="0" w:color="auto"/>
      </w:divBdr>
      <w:divsChild>
        <w:div w:id="922421749">
          <w:marLeft w:val="0"/>
          <w:marRight w:val="0"/>
          <w:marTop w:val="0"/>
          <w:marBottom w:val="0"/>
          <w:divBdr>
            <w:top w:val="none" w:sz="0" w:space="0" w:color="auto"/>
            <w:left w:val="none" w:sz="0" w:space="0" w:color="auto"/>
            <w:bottom w:val="none" w:sz="0" w:space="0" w:color="auto"/>
            <w:right w:val="none" w:sz="0" w:space="0" w:color="auto"/>
          </w:divBdr>
          <w:divsChild>
            <w:div w:id="963272635">
              <w:marLeft w:val="-225"/>
              <w:marRight w:val="-225"/>
              <w:marTop w:val="0"/>
              <w:marBottom w:val="0"/>
              <w:divBdr>
                <w:top w:val="none" w:sz="0" w:space="0" w:color="auto"/>
                <w:left w:val="none" w:sz="0" w:space="0" w:color="auto"/>
                <w:bottom w:val="none" w:sz="0" w:space="0" w:color="auto"/>
                <w:right w:val="none" w:sz="0" w:space="0" w:color="auto"/>
              </w:divBdr>
              <w:divsChild>
                <w:div w:id="1517040335">
                  <w:marLeft w:val="0"/>
                  <w:marRight w:val="0"/>
                  <w:marTop w:val="0"/>
                  <w:marBottom w:val="0"/>
                  <w:divBdr>
                    <w:top w:val="none" w:sz="0" w:space="0" w:color="auto"/>
                    <w:left w:val="none" w:sz="0" w:space="0" w:color="auto"/>
                    <w:bottom w:val="none" w:sz="0" w:space="0" w:color="auto"/>
                    <w:right w:val="none" w:sz="0" w:space="0" w:color="auto"/>
                  </w:divBdr>
                  <w:divsChild>
                    <w:div w:id="1533347242">
                      <w:marLeft w:val="0"/>
                      <w:marRight w:val="0"/>
                      <w:marTop w:val="0"/>
                      <w:marBottom w:val="255"/>
                      <w:divBdr>
                        <w:top w:val="none" w:sz="0" w:space="0" w:color="auto"/>
                        <w:left w:val="none" w:sz="0" w:space="0" w:color="auto"/>
                        <w:bottom w:val="none" w:sz="0" w:space="0" w:color="auto"/>
                        <w:right w:val="none" w:sz="0" w:space="0" w:color="auto"/>
                      </w:divBdr>
                      <w:divsChild>
                        <w:div w:id="553085692">
                          <w:marLeft w:val="0"/>
                          <w:marRight w:val="0"/>
                          <w:marTop w:val="0"/>
                          <w:marBottom w:val="0"/>
                          <w:divBdr>
                            <w:top w:val="none" w:sz="0" w:space="0" w:color="auto"/>
                            <w:left w:val="none" w:sz="0" w:space="0" w:color="auto"/>
                            <w:bottom w:val="none" w:sz="0" w:space="0" w:color="auto"/>
                            <w:right w:val="none" w:sz="0" w:space="0" w:color="auto"/>
                          </w:divBdr>
                          <w:divsChild>
                            <w:div w:id="1836258777">
                              <w:marLeft w:val="-195"/>
                              <w:marRight w:val="0"/>
                              <w:marTop w:val="0"/>
                              <w:marBottom w:val="0"/>
                              <w:divBdr>
                                <w:top w:val="none" w:sz="0" w:space="0" w:color="auto"/>
                                <w:left w:val="none" w:sz="0" w:space="0" w:color="auto"/>
                                <w:bottom w:val="none" w:sz="0" w:space="0" w:color="auto"/>
                                <w:right w:val="none" w:sz="0" w:space="0" w:color="auto"/>
                              </w:divBdr>
                              <w:divsChild>
                                <w:div w:id="1729840886">
                                  <w:marLeft w:val="0"/>
                                  <w:marRight w:val="0"/>
                                  <w:marTop w:val="150"/>
                                  <w:marBottom w:val="150"/>
                                  <w:divBdr>
                                    <w:top w:val="none" w:sz="0" w:space="0" w:color="auto"/>
                                    <w:left w:val="none" w:sz="0" w:space="0" w:color="auto"/>
                                    <w:bottom w:val="none" w:sz="0" w:space="0" w:color="auto"/>
                                    <w:right w:val="none" w:sz="0" w:space="0" w:color="auto"/>
                                  </w:divBdr>
                                </w:div>
                              </w:divsChild>
                            </w:div>
                            <w:div w:id="1662653842">
                              <w:marLeft w:val="-195"/>
                              <w:marRight w:val="0"/>
                              <w:marTop w:val="0"/>
                              <w:marBottom w:val="0"/>
                              <w:divBdr>
                                <w:top w:val="none" w:sz="0" w:space="0" w:color="auto"/>
                                <w:left w:val="none" w:sz="0" w:space="0" w:color="auto"/>
                                <w:bottom w:val="none" w:sz="0" w:space="0" w:color="auto"/>
                                <w:right w:val="none" w:sz="0" w:space="0" w:color="auto"/>
                              </w:divBdr>
                              <w:divsChild>
                                <w:div w:id="1159807463">
                                  <w:marLeft w:val="0"/>
                                  <w:marRight w:val="0"/>
                                  <w:marTop w:val="150"/>
                                  <w:marBottom w:val="150"/>
                                  <w:divBdr>
                                    <w:top w:val="none" w:sz="0" w:space="0" w:color="auto"/>
                                    <w:left w:val="none" w:sz="0" w:space="0" w:color="auto"/>
                                    <w:bottom w:val="none" w:sz="0" w:space="0" w:color="auto"/>
                                    <w:right w:val="none" w:sz="0" w:space="0" w:color="auto"/>
                                  </w:divBdr>
                                </w:div>
                              </w:divsChild>
                            </w:div>
                            <w:div w:id="1023823713">
                              <w:marLeft w:val="-195"/>
                              <w:marRight w:val="0"/>
                              <w:marTop w:val="0"/>
                              <w:marBottom w:val="0"/>
                              <w:divBdr>
                                <w:top w:val="none" w:sz="0" w:space="0" w:color="auto"/>
                                <w:left w:val="none" w:sz="0" w:space="0" w:color="auto"/>
                                <w:bottom w:val="none" w:sz="0" w:space="0" w:color="auto"/>
                                <w:right w:val="none" w:sz="0" w:space="0" w:color="auto"/>
                              </w:divBdr>
                              <w:divsChild>
                                <w:div w:id="303701856">
                                  <w:marLeft w:val="0"/>
                                  <w:marRight w:val="0"/>
                                  <w:marTop w:val="150"/>
                                  <w:marBottom w:val="150"/>
                                  <w:divBdr>
                                    <w:top w:val="none" w:sz="0" w:space="0" w:color="auto"/>
                                    <w:left w:val="none" w:sz="0" w:space="0" w:color="auto"/>
                                    <w:bottom w:val="none" w:sz="0" w:space="0" w:color="auto"/>
                                    <w:right w:val="none" w:sz="0" w:space="0" w:color="auto"/>
                                  </w:divBdr>
                                </w:div>
                              </w:divsChild>
                            </w:div>
                            <w:div w:id="1306424272">
                              <w:marLeft w:val="-195"/>
                              <w:marRight w:val="0"/>
                              <w:marTop w:val="0"/>
                              <w:marBottom w:val="0"/>
                              <w:divBdr>
                                <w:top w:val="none" w:sz="0" w:space="0" w:color="auto"/>
                                <w:left w:val="none" w:sz="0" w:space="0" w:color="auto"/>
                                <w:bottom w:val="none" w:sz="0" w:space="0" w:color="auto"/>
                                <w:right w:val="none" w:sz="0" w:space="0" w:color="auto"/>
                              </w:divBdr>
                              <w:divsChild>
                                <w:div w:id="1439251275">
                                  <w:marLeft w:val="0"/>
                                  <w:marRight w:val="0"/>
                                  <w:marTop w:val="150"/>
                                  <w:marBottom w:val="150"/>
                                  <w:divBdr>
                                    <w:top w:val="none" w:sz="0" w:space="0" w:color="auto"/>
                                    <w:left w:val="none" w:sz="0" w:space="0" w:color="auto"/>
                                    <w:bottom w:val="none" w:sz="0" w:space="0" w:color="auto"/>
                                    <w:right w:val="none" w:sz="0" w:space="0" w:color="auto"/>
                                  </w:divBdr>
                                </w:div>
                              </w:divsChild>
                            </w:div>
                            <w:div w:id="65880172">
                              <w:marLeft w:val="-195"/>
                              <w:marRight w:val="0"/>
                              <w:marTop w:val="0"/>
                              <w:marBottom w:val="0"/>
                              <w:divBdr>
                                <w:top w:val="none" w:sz="0" w:space="0" w:color="auto"/>
                                <w:left w:val="none" w:sz="0" w:space="0" w:color="auto"/>
                                <w:bottom w:val="none" w:sz="0" w:space="0" w:color="auto"/>
                                <w:right w:val="none" w:sz="0" w:space="0" w:color="auto"/>
                              </w:divBdr>
                              <w:divsChild>
                                <w:div w:id="562327963">
                                  <w:marLeft w:val="0"/>
                                  <w:marRight w:val="0"/>
                                  <w:marTop w:val="150"/>
                                  <w:marBottom w:val="150"/>
                                  <w:divBdr>
                                    <w:top w:val="none" w:sz="0" w:space="0" w:color="auto"/>
                                    <w:left w:val="none" w:sz="0" w:space="0" w:color="auto"/>
                                    <w:bottom w:val="none" w:sz="0" w:space="0" w:color="auto"/>
                                    <w:right w:val="none" w:sz="0" w:space="0" w:color="auto"/>
                                  </w:divBdr>
                                </w:div>
                              </w:divsChild>
                            </w:div>
                            <w:div w:id="1343626232">
                              <w:marLeft w:val="-195"/>
                              <w:marRight w:val="0"/>
                              <w:marTop w:val="0"/>
                              <w:marBottom w:val="0"/>
                              <w:divBdr>
                                <w:top w:val="none" w:sz="0" w:space="0" w:color="auto"/>
                                <w:left w:val="none" w:sz="0" w:space="0" w:color="auto"/>
                                <w:bottom w:val="none" w:sz="0" w:space="0" w:color="auto"/>
                                <w:right w:val="none" w:sz="0" w:space="0" w:color="auto"/>
                              </w:divBdr>
                              <w:divsChild>
                                <w:div w:id="42873698">
                                  <w:marLeft w:val="0"/>
                                  <w:marRight w:val="0"/>
                                  <w:marTop w:val="150"/>
                                  <w:marBottom w:val="150"/>
                                  <w:divBdr>
                                    <w:top w:val="none" w:sz="0" w:space="0" w:color="auto"/>
                                    <w:left w:val="none" w:sz="0" w:space="0" w:color="auto"/>
                                    <w:bottom w:val="none" w:sz="0" w:space="0" w:color="auto"/>
                                    <w:right w:val="none" w:sz="0" w:space="0" w:color="auto"/>
                                  </w:divBdr>
                                </w:div>
                              </w:divsChild>
                            </w:div>
                            <w:div w:id="1515150123">
                              <w:marLeft w:val="-195"/>
                              <w:marRight w:val="0"/>
                              <w:marTop w:val="0"/>
                              <w:marBottom w:val="0"/>
                              <w:divBdr>
                                <w:top w:val="none" w:sz="0" w:space="0" w:color="auto"/>
                                <w:left w:val="none" w:sz="0" w:space="0" w:color="auto"/>
                                <w:bottom w:val="none" w:sz="0" w:space="0" w:color="auto"/>
                                <w:right w:val="none" w:sz="0" w:space="0" w:color="auto"/>
                              </w:divBdr>
                              <w:divsChild>
                                <w:div w:id="42294811">
                                  <w:marLeft w:val="0"/>
                                  <w:marRight w:val="0"/>
                                  <w:marTop w:val="150"/>
                                  <w:marBottom w:val="150"/>
                                  <w:divBdr>
                                    <w:top w:val="none" w:sz="0" w:space="0" w:color="auto"/>
                                    <w:left w:val="none" w:sz="0" w:space="0" w:color="auto"/>
                                    <w:bottom w:val="none" w:sz="0" w:space="0" w:color="auto"/>
                                    <w:right w:val="none" w:sz="0" w:space="0" w:color="auto"/>
                                  </w:divBdr>
                                </w:div>
                              </w:divsChild>
                            </w:div>
                            <w:div w:id="1456368905">
                              <w:marLeft w:val="-195"/>
                              <w:marRight w:val="0"/>
                              <w:marTop w:val="0"/>
                              <w:marBottom w:val="0"/>
                              <w:divBdr>
                                <w:top w:val="none" w:sz="0" w:space="0" w:color="auto"/>
                                <w:left w:val="none" w:sz="0" w:space="0" w:color="auto"/>
                                <w:bottom w:val="none" w:sz="0" w:space="0" w:color="auto"/>
                                <w:right w:val="none" w:sz="0" w:space="0" w:color="auto"/>
                              </w:divBdr>
                              <w:divsChild>
                                <w:div w:id="855195758">
                                  <w:marLeft w:val="0"/>
                                  <w:marRight w:val="0"/>
                                  <w:marTop w:val="150"/>
                                  <w:marBottom w:val="150"/>
                                  <w:divBdr>
                                    <w:top w:val="none" w:sz="0" w:space="0" w:color="auto"/>
                                    <w:left w:val="none" w:sz="0" w:space="0" w:color="auto"/>
                                    <w:bottom w:val="none" w:sz="0" w:space="0" w:color="auto"/>
                                    <w:right w:val="none" w:sz="0" w:space="0" w:color="auto"/>
                                  </w:divBdr>
                                </w:div>
                              </w:divsChild>
                            </w:div>
                            <w:div w:id="1672684170">
                              <w:marLeft w:val="-195"/>
                              <w:marRight w:val="0"/>
                              <w:marTop w:val="0"/>
                              <w:marBottom w:val="0"/>
                              <w:divBdr>
                                <w:top w:val="none" w:sz="0" w:space="0" w:color="auto"/>
                                <w:left w:val="none" w:sz="0" w:space="0" w:color="auto"/>
                                <w:bottom w:val="none" w:sz="0" w:space="0" w:color="auto"/>
                                <w:right w:val="none" w:sz="0" w:space="0" w:color="auto"/>
                              </w:divBdr>
                              <w:divsChild>
                                <w:div w:id="432212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D4C0-F3D3-4062-86EE-A0584E1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2572</Words>
  <Characters>14663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37</cp:revision>
  <cp:lastPrinted>2018-12-10T05:59:00Z</cp:lastPrinted>
  <dcterms:created xsi:type="dcterms:W3CDTF">2020-08-31T06:20:00Z</dcterms:created>
  <dcterms:modified xsi:type="dcterms:W3CDTF">2020-09-01T12:11:00Z</dcterms:modified>
</cp:coreProperties>
</file>