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490"/>
      </w:tblGrid>
      <w:tr w:rsidR="001024FC" w:rsidRPr="00486AD9" w14:paraId="37DA92CF" w14:textId="77777777" w:rsidTr="0006048D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4E33EBE5" w:rsidR="001024FC" w:rsidRPr="00924BA0" w:rsidRDefault="00A256F2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7B4C040B" w:rsidR="001024FC" w:rsidRPr="00486AD9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486AD9">
              <w:rPr>
                <w:rFonts w:ascii="Tahoma" w:hAnsi="Tahoma" w:cs="Tahoma"/>
                <w:b/>
                <w:i/>
              </w:rPr>
              <w:t>Priloga 7/</w:t>
            </w:r>
            <w:r w:rsidR="00810D40" w:rsidRPr="00486AD9">
              <w:rPr>
                <w:rFonts w:ascii="Tahoma" w:hAnsi="Tahoma" w:cs="Tahoma"/>
                <w:b/>
                <w:i/>
              </w:rPr>
              <w:t>4</w:t>
            </w:r>
          </w:p>
        </w:tc>
      </w:tr>
    </w:tbl>
    <w:p w14:paraId="092C8931" w14:textId="77777777" w:rsidR="00E81DC1" w:rsidRPr="00486AD9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1F930C69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486AD9">
              <w:rPr>
                <w:rFonts w:ascii="Tahoma" w:hAnsi="Tahoma" w:cs="Tahoma"/>
                <w:b/>
              </w:rPr>
              <w:t xml:space="preserve">TEHNIČNA SPECIFIKACIJA – </w:t>
            </w:r>
            <w:r w:rsidR="00810D40" w:rsidRPr="00486AD9">
              <w:rPr>
                <w:rFonts w:ascii="Tahoma" w:hAnsi="Tahoma" w:cs="Tahoma"/>
                <w:b/>
              </w:rPr>
              <w:t>VOZILO 4</w:t>
            </w:r>
          </w:p>
          <w:p w14:paraId="0C97D2FA" w14:textId="223D8059" w:rsidR="00B30C0D" w:rsidRPr="00924BA0" w:rsidRDefault="00B30C0D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260"/>
      </w:tblGrid>
      <w:tr w:rsidR="00E81DC1" w:rsidRPr="00924BA0" w14:paraId="7A1EF075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260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260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7D1A3A7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F92346">
              <w:rPr>
                <w:rFonts w:ascii="Tahoma" w:hAnsi="Tahoma" w:cs="Tahoma"/>
                <w:color w:val="000000"/>
              </w:rPr>
              <w:t>1</w:t>
            </w:r>
            <w:r w:rsidR="001C1F44">
              <w:rPr>
                <w:rFonts w:ascii="Tahoma" w:hAnsi="Tahoma" w:cs="Tahoma"/>
                <w:color w:val="000000"/>
              </w:rPr>
              <w:t>8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260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260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260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260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260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260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260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260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260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260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260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260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260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435DE131" w:rsidR="00F07058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(zaželena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260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260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36D5D66B" w:rsidR="00F07058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z </w:t>
            </w:r>
            <w:proofErr w:type="spellStart"/>
            <w:r w:rsidR="00BB5196"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="00BB5196"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260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260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260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87F1963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C80382" w14:textId="0394E38E" w:rsidR="00F92346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Volanski obroč oblečen v usnje</w:t>
            </w:r>
          </w:p>
        </w:tc>
        <w:tc>
          <w:tcPr>
            <w:tcW w:w="3260" w:type="dxa"/>
            <w:vAlign w:val="center"/>
          </w:tcPr>
          <w:p w14:paraId="7F3B7EDE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260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260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Vlečna kljuka</w:t>
            </w:r>
          </w:p>
        </w:tc>
        <w:tc>
          <w:tcPr>
            <w:tcW w:w="3260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260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260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260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260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35B37043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260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260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260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1999C7D3" w:rsidR="00F92346" w:rsidRPr="00EE2A80" w:rsidRDefault="002E14C4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260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260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2A72B2FB" w:rsidR="00F92346" w:rsidRPr="000E4709" w:rsidRDefault="002E14C4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260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4156B8C9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36FBCFF6" w14:textId="34FE7528" w:rsidR="00B71FB1" w:rsidRDefault="00B71FB1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 trdo vodoodporno dno.</w:t>
            </w:r>
          </w:p>
          <w:p w14:paraId="2081ECFC" w14:textId="77777777" w:rsidR="00825019" w:rsidRDefault="00B71FB1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Na levi strani </w:t>
            </w:r>
            <w:r w:rsidR="00825019">
              <w:rPr>
                <w:rFonts w:ascii="Tahoma" w:eastAsia="Calibri" w:hAnsi="Tahoma" w:cs="Tahoma"/>
                <w:bCs/>
                <w:lang w:eastAsia="en-US"/>
              </w:rPr>
              <w:t>sta dve omari.</w:t>
            </w:r>
          </w:p>
          <w:p w14:paraId="246182A5" w14:textId="0D491CFB" w:rsidR="00F92346" w:rsidRDefault="00825019" w:rsidP="002E14C4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Prva je dimenzije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600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>
              <w:rPr>
                <w:rFonts w:ascii="Tahoma" w:eastAsia="Calibri" w:hAnsi="Tahoma" w:cs="Tahoma"/>
                <w:bCs/>
                <w:lang w:eastAsia="en-US"/>
              </w:rPr>
              <w:t>250 mm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50)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. Ima tri police, prva je od 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>
              <w:rPr>
                <w:rFonts w:ascii="Tahoma" w:eastAsia="Calibri" w:hAnsi="Tahoma" w:cs="Tahoma"/>
                <w:bCs/>
                <w:lang w:eastAsia="en-US"/>
              </w:rPr>
              <w:t>dvignjena 250 mm, druga tudi od prve police 250 mm. Tretja in četrta</w:t>
            </w:r>
            <w:r w:rsidR="00B71FB1">
              <w:rPr>
                <w:rFonts w:ascii="Tahoma" w:eastAsia="Calibri" w:hAnsi="Tahoma" w:cs="Tahoma"/>
                <w:bCs/>
                <w:lang w:eastAsia="en-US"/>
              </w:rPr>
              <w:t xml:space="preserve"> polic</w:t>
            </w:r>
            <w:r>
              <w:rPr>
                <w:rFonts w:ascii="Tahoma" w:eastAsia="Calibri" w:hAnsi="Tahoma" w:cs="Tahoma"/>
                <w:bCs/>
                <w:lang w:eastAsia="en-US"/>
              </w:rPr>
              <w:t>a pa sta visoki po 100 mm. Tretja in četrta polica sta opremljeni s prostorčki za shranjevanje (v vsaki jih je po 6).</w:t>
            </w:r>
          </w:p>
          <w:p w14:paraId="0519EBBF" w14:textId="267757EC" w:rsidR="00825019" w:rsidRPr="002E14C4" w:rsidRDefault="00825019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Druga omara je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dimenzij vsaj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1500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80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 mm)</w:t>
            </w:r>
            <w:r w:rsidR="002D4D91" w:rsidRPr="002E14C4">
              <w:rPr>
                <w:rFonts w:ascii="Tahoma" w:eastAsia="Calibri" w:hAnsi="Tahoma" w:cs="Tahoma"/>
                <w:bCs/>
                <w:lang w:eastAsia="en-US"/>
              </w:rPr>
              <w:t xml:space="preserve"> in opremljena s tremi policami.</w:t>
            </w:r>
          </w:p>
          <w:p w14:paraId="0A5C642D" w14:textId="5C0FD8EC" w:rsidR="002D4D91" w:rsidRPr="00825019" w:rsidRDefault="002D4D91" w:rsidP="002E14C4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Zgornja polica naj bo opremljena z osmimi škatlami različnih dimenzij za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>s</w:t>
            </w:r>
            <w:r>
              <w:rPr>
                <w:rFonts w:ascii="Tahoma" w:eastAsia="Calibri" w:hAnsi="Tahoma" w:cs="Tahoma"/>
                <w:bCs/>
                <w:lang w:eastAsia="en-US"/>
              </w:rPr>
              <w:t>hranjevanje.</w:t>
            </w:r>
          </w:p>
        </w:tc>
        <w:tc>
          <w:tcPr>
            <w:tcW w:w="3260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260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1B93A66C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Zahtevani servisni interval je vsaj 40.000 km ali 2 leti.</w:t>
            </w:r>
          </w:p>
        </w:tc>
        <w:tc>
          <w:tcPr>
            <w:tcW w:w="3260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2C391962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260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4B4FC953" w:rsid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EEB524A" w14:textId="77777777" w:rsidR="00E81B00" w:rsidRPr="00924BA0" w:rsidRDefault="00E81B0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8972B7" w:rsidRDefault="00E13933" w:rsidP="00E13933">
      <w:pPr>
        <w:ind w:right="-284"/>
        <w:rPr>
          <w:rFonts w:ascii="Tahoma" w:hAnsi="Tahoma" w:cs="Tahoma"/>
        </w:rPr>
      </w:pPr>
      <w:r w:rsidRPr="008972B7">
        <w:rPr>
          <w:rFonts w:ascii="Tahoma" w:hAnsi="Tahoma" w:cs="Tahoma"/>
        </w:rPr>
        <w:t xml:space="preserve">Obvezna priloga: </w:t>
      </w:r>
    </w:p>
    <w:p w14:paraId="773B97B8" w14:textId="77777777" w:rsidR="00E13933" w:rsidRPr="008972B7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8972B7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8972B7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0CE1"/>
    <w:multiLevelType w:val="hybridMultilevel"/>
    <w:tmpl w:val="58E60888"/>
    <w:lvl w:ilvl="0" w:tplc="BE52E4A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48D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C1F44"/>
    <w:rsid w:val="001D5D24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D4D91"/>
    <w:rsid w:val="002E14C4"/>
    <w:rsid w:val="002E2251"/>
    <w:rsid w:val="00307917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86AD9"/>
    <w:rsid w:val="00496E46"/>
    <w:rsid w:val="0049763F"/>
    <w:rsid w:val="004A1E78"/>
    <w:rsid w:val="004A59CA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45C14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E438E"/>
    <w:rsid w:val="00810D40"/>
    <w:rsid w:val="00825019"/>
    <w:rsid w:val="00834FB8"/>
    <w:rsid w:val="0085007E"/>
    <w:rsid w:val="00866A96"/>
    <w:rsid w:val="00891066"/>
    <w:rsid w:val="008972B7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56F2"/>
    <w:rsid w:val="00A26425"/>
    <w:rsid w:val="00A368B7"/>
    <w:rsid w:val="00A67652"/>
    <w:rsid w:val="00A83A08"/>
    <w:rsid w:val="00A8513D"/>
    <w:rsid w:val="00AB178B"/>
    <w:rsid w:val="00AE4676"/>
    <w:rsid w:val="00B0029E"/>
    <w:rsid w:val="00B30C0D"/>
    <w:rsid w:val="00B36354"/>
    <w:rsid w:val="00B516D5"/>
    <w:rsid w:val="00B551D6"/>
    <w:rsid w:val="00B719F7"/>
    <w:rsid w:val="00B71FB1"/>
    <w:rsid w:val="00B83F63"/>
    <w:rsid w:val="00B92BB9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B00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Darko Pintarič</cp:lastModifiedBy>
  <cp:revision>4</cp:revision>
  <cp:lastPrinted>2013-03-22T11:25:00Z</cp:lastPrinted>
  <dcterms:created xsi:type="dcterms:W3CDTF">2025-08-07T06:01:00Z</dcterms:created>
  <dcterms:modified xsi:type="dcterms:W3CDTF">2025-08-09T07:47:00Z</dcterms:modified>
</cp:coreProperties>
</file>