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1024FC" w:rsidRPr="00486AD9" w14:paraId="37DA92CF" w14:textId="77777777" w:rsidTr="001024FC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BABA46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18900A5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0FEAA577" w14:textId="7B4C040B" w:rsidR="001024FC" w:rsidRPr="00486AD9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486AD9">
              <w:rPr>
                <w:rFonts w:ascii="Tahoma" w:hAnsi="Tahoma" w:cs="Tahoma"/>
                <w:b/>
                <w:i/>
              </w:rPr>
              <w:t>Priloga 7/</w:t>
            </w:r>
            <w:r w:rsidR="00810D40" w:rsidRPr="00486AD9">
              <w:rPr>
                <w:rFonts w:ascii="Tahoma" w:hAnsi="Tahoma" w:cs="Tahoma"/>
                <w:b/>
                <w:i/>
              </w:rPr>
              <w:t>4</w:t>
            </w:r>
          </w:p>
        </w:tc>
      </w:tr>
    </w:tbl>
    <w:p w14:paraId="092C8931" w14:textId="77777777" w:rsidR="00E81DC1" w:rsidRPr="00486AD9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924BA0" w14:paraId="378580CF" w14:textId="77777777" w:rsidTr="0096351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1F930C69" w:rsidR="00C8507A" w:rsidRPr="00924BA0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486AD9">
              <w:rPr>
                <w:rFonts w:ascii="Tahoma" w:hAnsi="Tahoma" w:cs="Tahoma"/>
                <w:b/>
              </w:rPr>
              <w:t xml:space="preserve">TEHNIČNA SPECIFIKACIJA – </w:t>
            </w:r>
            <w:r w:rsidR="00810D40" w:rsidRPr="00486AD9">
              <w:rPr>
                <w:rFonts w:ascii="Tahoma" w:hAnsi="Tahoma" w:cs="Tahoma"/>
                <w:b/>
              </w:rPr>
              <w:t>VOZILO 4</w:t>
            </w:r>
          </w:p>
          <w:p w14:paraId="0C97D2FA" w14:textId="223D8059" w:rsidR="00B30C0D" w:rsidRPr="00924BA0" w:rsidRDefault="00B30C0D" w:rsidP="00EE2A80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401032F2" w14:textId="77777777" w:rsidR="00E81DC1" w:rsidRPr="00924BA0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807"/>
        <w:gridCol w:w="3260"/>
      </w:tblGrid>
      <w:tr w:rsidR="00E81DC1" w:rsidRPr="00924BA0" w14:paraId="7A1EF075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4C5E7D76" w14:textId="3E57C708" w:rsidR="00E81DC1" w:rsidRPr="00924BA0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3260" w:type="dxa"/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260" w:type="dxa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260" w:type="dxa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260" w:type="dxa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924BA0" w14:paraId="19C31622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C3409C" w14:textId="1ADE6FE8" w:rsidR="007041C4" w:rsidRPr="00F92346" w:rsidRDefault="0085007E" w:rsidP="00F07058">
            <w:pPr>
              <w:spacing w:line="276" w:lineRule="auto"/>
              <w:rPr>
                <w:rFonts w:ascii="Tahoma" w:hAnsi="Tahoma" w:cs="Tahoma"/>
              </w:rPr>
            </w:pPr>
            <w:r w:rsidRPr="0085007E">
              <w:rPr>
                <w:rFonts w:ascii="Tahoma" w:hAnsi="Tahoma" w:cs="Tahoma"/>
              </w:rPr>
              <w:t xml:space="preserve">Rabljeno ali novo električno tovorno vozilo v vrednosti do </w:t>
            </w:r>
            <w:r w:rsidR="00F92346">
              <w:rPr>
                <w:rFonts w:ascii="Tahoma" w:hAnsi="Tahoma" w:cs="Tahoma"/>
              </w:rPr>
              <w:t>37</w:t>
            </w:r>
            <w:r w:rsidRPr="0085007E">
              <w:rPr>
                <w:rFonts w:ascii="Tahoma" w:hAnsi="Tahoma" w:cs="Tahoma"/>
              </w:rPr>
              <w:t>.000 € z DDV</w:t>
            </w:r>
          </w:p>
        </w:tc>
        <w:tc>
          <w:tcPr>
            <w:tcW w:w="3260" w:type="dxa"/>
            <w:vAlign w:val="center"/>
          </w:tcPr>
          <w:p w14:paraId="12928348" w14:textId="77777777" w:rsidR="007041C4" w:rsidRPr="00924BA0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3F53E5A" w14:textId="358A1F5D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Starost vozila: ne starejše od letnik 2023</w:t>
            </w:r>
          </w:p>
        </w:tc>
        <w:tc>
          <w:tcPr>
            <w:tcW w:w="3260" w:type="dxa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80541AC" w14:textId="24A782F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Prevoženo število kilometrov: do največ </w:t>
            </w:r>
            <w:r w:rsidR="00F92346">
              <w:rPr>
                <w:rFonts w:ascii="Tahoma" w:hAnsi="Tahoma" w:cs="Tahoma"/>
                <w:color w:val="000000"/>
              </w:rPr>
              <w:t>15</w:t>
            </w:r>
            <w:r w:rsidRPr="00BB5196">
              <w:rPr>
                <w:rFonts w:ascii="Tahoma" w:hAnsi="Tahoma" w:cs="Tahoma"/>
                <w:color w:val="000000"/>
              </w:rPr>
              <w:t>.000 km na rok za oddajo ponudbe</w:t>
            </w:r>
          </w:p>
        </w:tc>
        <w:tc>
          <w:tcPr>
            <w:tcW w:w="3260" w:type="dxa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C1D187" w14:textId="559A27E7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260" w:type="dxa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DEA9CCF" w14:textId="189171C0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260" w:type="dxa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6BDD83" w14:textId="33FC4019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260" w:type="dxa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83AD9B" w14:textId="435B2FC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Dolžina vozila med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3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00 mm in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55</w:t>
            </w:r>
            <w:r w:rsidRPr="00BB5196">
              <w:rPr>
                <w:rFonts w:ascii="Tahoma" w:eastAsia="Calibri" w:hAnsi="Tahoma" w:cs="Tahoma"/>
                <w:lang w:eastAsia="en-US"/>
              </w:rPr>
              <w:t>0 mm.</w:t>
            </w:r>
          </w:p>
        </w:tc>
        <w:tc>
          <w:tcPr>
            <w:tcW w:w="3260" w:type="dxa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53BEC19" w14:textId="6E51E39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Širina vozila med 1.8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>0 mm in 1.970 mm.</w:t>
            </w:r>
          </w:p>
        </w:tc>
        <w:tc>
          <w:tcPr>
            <w:tcW w:w="3260" w:type="dxa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27ED924" w14:textId="0A0327D6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Kapaciteta baterije vsaj </w:t>
            </w:r>
            <w:r w:rsidR="00F92346">
              <w:rPr>
                <w:rFonts w:ascii="Tahoma" w:eastAsia="Calibri" w:hAnsi="Tahoma" w:cs="Tahoma"/>
                <w:lang w:eastAsia="en-US"/>
              </w:rPr>
              <w:t>7</w:t>
            </w:r>
            <w:r w:rsidRPr="00BB5196">
              <w:rPr>
                <w:rFonts w:ascii="Tahoma" w:eastAsia="Calibri" w:hAnsi="Tahoma" w:cs="Tahoma"/>
                <w:lang w:eastAsia="en-US"/>
              </w:rPr>
              <w:t>5 kWh.</w:t>
            </w:r>
          </w:p>
        </w:tc>
        <w:tc>
          <w:tcPr>
            <w:tcW w:w="3260" w:type="dxa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5308126" w14:textId="2E2D79B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Doseg vozila po WLTP minimalno </w:t>
            </w:r>
            <w:r w:rsidR="00F92346">
              <w:rPr>
                <w:rFonts w:ascii="Tahoma" w:eastAsia="Calibri" w:hAnsi="Tahoma" w:cs="Tahoma"/>
                <w:lang w:eastAsia="en-US"/>
              </w:rPr>
              <w:t>32</w:t>
            </w:r>
            <w:r w:rsidRPr="00BB5196">
              <w:rPr>
                <w:rFonts w:ascii="Tahoma" w:eastAsia="Calibri" w:hAnsi="Tahoma" w:cs="Tahoma"/>
                <w:lang w:eastAsia="en-US"/>
              </w:rPr>
              <w:t>5 km</w:t>
            </w:r>
          </w:p>
        </w:tc>
        <w:tc>
          <w:tcPr>
            <w:tcW w:w="3260" w:type="dxa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6A23A9" w14:textId="376DCB7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Možnosti polnjenja na AC polnilnicah vsaj 11kW in CCS polnilnih postajah vsaj 100kW.</w:t>
            </w:r>
          </w:p>
        </w:tc>
        <w:tc>
          <w:tcPr>
            <w:tcW w:w="3260" w:type="dxa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E3F4D3" w14:textId="68D1D878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Max hitrost vozila vsaj 13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 km/h.</w:t>
            </w:r>
          </w:p>
        </w:tc>
        <w:tc>
          <w:tcPr>
            <w:tcW w:w="3260" w:type="dxa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70687DC" w14:textId="2A972F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260" w:type="dxa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6189276" w14:textId="6B1DC200" w:rsidR="00F07058" w:rsidRPr="00BB5196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Število sedežev </w:t>
            </w:r>
            <w:r w:rsidR="00F92346">
              <w:rPr>
                <w:rFonts w:ascii="Tahoma" w:hAnsi="Tahoma" w:cs="Tahoma"/>
                <w:color w:val="000000"/>
              </w:rPr>
              <w:t>3</w:t>
            </w:r>
            <w:r w:rsidRPr="00BB5196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260" w:type="dxa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403DBAC" w14:textId="09401003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Število vrat 4.</w:t>
            </w:r>
          </w:p>
        </w:tc>
        <w:tc>
          <w:tcPr>
            <w:tcW w:w="3260" w:type="dxa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4C1B70" w14:textId="4C4BF66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260" w:type="dxa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5512C5" w14:textId="435DE131" w:rsidR="00F07058" w:rsidRPr="00BB5196" w:rsidRDefault="002E14C4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</w:t>
            </w:r>
            <w:r w:rsidR="00BB5196" w:rsidRPr="00BB5196">
              <w:rPr>
                <w:rFonts w:ascii="Tahoma" w:eastAsia="Calibri" w:hAnsi="Tahoma" w:cs="Tahoma"/>
                <w:lang w:eastAsia="en-US"/>
              </w:rPr>
              <w:t>vtomatska klimatska naprava</w:t>
            </w:r>
            <w:r>
              <w:rPr>
                <w:rFonts w:ascii="Tahoma" w:eastAsia="Calibri" w:hAnsi="Tahoma" w:cs="Tahoma"/>
                <w:lang w:eastAsia="en-US"/>
              </w:rPr>
              <w:t xml:space="preserve"> (zaželena </w:t>
            </w:r>
            <w:proofErr w:type="spellStart"/>
            <w:r>
              <w:rPr>
                <w:rFonts w:ascii="Tahoma" w:eastAsia="Calibri" w:hAnsi="Tahoma" w:cs="Tahoma"/>
                <w:lang w:eastAsia="en-US"/>
              </w:rPr>
              <w:t>dvopodročna</w:t>
            </w:r>
            <w:proofErr w:type="spellEnd"/>
            <w:r>
              <w:rPr>
                <w:rFonts w:ascii="Tahoma" w:eastAsia="Calibri" w:hAnsi="Tahoma" w:cs="Tahoma"/>
                <w:lang w:eastAsia="en-US"/>
              </w:rPr>
              <w:t>)</w:t>
            </w:r>
          </w:p>
        </w:tc>
        <w:tc>
          <w:tcPr>
            <w:tcW w:w="3260" w:type="dxa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93A203" w14:textId="5BD2A7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260" w:type="dxa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7E792FF" w14:textId="36D5D66B" w:rsidR="00F07058" w:rsidRPr="00BB5196" w:rsidRDefault="002E14C4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Avtoradio z </w:t>
            </w:r>
            <w:proofErr w:type="spellStart"/>
            <w:r w:rsidR="00BB5196" w:rsidRPr="00BB5196">
              <w:rPr>
                <w:rFonts w:ascii="Tahoma" w:eastAsia="Calibri" w:hAnsi="Tahoma" w:cs="Tahoma"/>
                <w:lang w:eastAsia="en-US"/>
              </w:rPr>
              <w:t>Bluetooth</w:t>
            </w:r>
            <w:proofErr w:type="spellEnd"/>
            <w:r w:rsidR="00BB5196" w:rsidRPr="00BB5196">
              <w:rPr>
                <w:rFonts w:ascii="Tahoma" w:eastAsia="Calibri" w:hAnsi="Tahoma" w:cs="Tahoma"/>
                <w:lang w:eastAsia="en-US"/>
              </w:rPr>
              <w:t xml:space="preserve"> za prostoročno telefoniranje.</w:t>
            </w:r>
          </w:p>
        </w:tc>
        <w:tc>
          <w:tcPr>
            <w:tcW w:w="3260" w:type="dxa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A52587E" w14:textId="4358C45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  <w:r w:rsidR="00F92346">
              <w:rPr>
                <w:rFonts w:ascii="Tahoma" w:eastAsia="Calibri" w:hAnsi="Tahoma" w:cs="Tahoma"/>
                <w:lang w:eastAsia="en-US"/>
              </w:rPr>
              <w:t xml:space="preserve"> 180 stopinj </w:t>
            </w:r>
          </w:p>
        </w:tc>
        <w:tc>
          <w:tcPr>
            <w:tcW w:w="3260" w:type="dxa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018D2E4D" w14:textId="5E94403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260" w:type="dxa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87F1963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C80382" w14:textId="0394E38E" w:rsidR="00F92346" w:rsidRPr="00BB5196" w:rsidRDefault="002E14C4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Volanski obroč oblečen v usnje</w:t>
            </w:r>
          </w:p>
        </w:tc>
        <w:tc>
          <w:tcPr>
            <w:tcW w:w="3260" w:type="dxa"/>
            <w:vAlign w:val="center"/>
          </w:tcPr>
          <w:p w14:paraId="7F3B7EDE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73B49AA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CB67A0" w14:textId="0ED96677" w:rsidR="00F92346" w:rsidRPr="00BB5196" w:rsidRDefault="00F9234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BB5196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260" w:type="dxa"/>
            <w:vAlign w:val="center"/>
          </w:tcPr>
          <w:p w14:paraId="6B533F69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BAE4088" w14:textId="1FD3C4AC" w:rsidR="00F07058" w:rsidRPr="00924BA0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Regulator hitrosti z omejevalnikom hitrosti</w:t>
            </w:r>
          </w:p>
        </w:tc>
        <w:tc>
          <w:tcPr>
            <w:tcW w:w="3260" w:type="dxa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979576E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F97771E" w14:textId="445F02F9" w:rsidR="00F92346" w:rsidRPr="00BB519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Vlečna kljuka</w:t>
            </w:r>
          </w:p>
        </w:tc>
        <w:tc>
          <w:tcPr>
            <w:tcW w:w="3260" w:type="dxa"/>
            <w:vAlign w:val="center"/>
          </w:tcPr>
          <w:p w14:paraId="10C17A31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387F70DF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688483" w14:textId="414C69BD" w:rsidR="00F9234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260" w:type="dxa"/>
            <w:vAlign w:val="center"/>
          </w:tcPr>
          <w:p w14:paraId="65B0537B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6B8373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A64C2C" w14:textId="2CBB4A8A" w:rsidR="00F92346" w:rsidRPr="00EE2A80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260" w:type="dxa"/>
            <w:vAlign w:val="center"/>
          </w:tcPr>
          <w:p w14:paraId="54C4FEB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6A5E94E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299095" w14:textId="7957184C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260" w:type="dxa"/>
            <w:vAlign w:val="center"/>
          </w:tcPr>
          <w:p w14:paraId="769C564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4DF8C82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C26D959" w14:textId="583622B2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260" w:type="dxa"/>
            <w:vAlign w:val="center"/>
          </w:tcPr>
          <w:p w14:paraId="696CFAD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EBA8C6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B9EA0A1" w14:textId="35B37043" w:rsidR="00F92346" w:rsidRPr="00EE2A80" w:rsidRDefault="00F92346" w:rsidP="00F923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Prednja  Brisalca s senzorjem za dež</w:t>
            </w:r>
          </w:p>
        </w:tc>
        <w:tc>
          <w:tcPr>
            <w:tcW w:w="3260" w:type="dxa"/>
            <w:vAlign w:val="center"/>
          </w:tcPr>
          <w:p w14:paraId="1F850FC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7FFA4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5A9EA3E" w14:textId="4C1D4380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260" w:type="dxa"/>
            <w:vAlign w:val="center"/>
          </w:tcPr>
          <w:p w14:paraId="428C32A7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9FD1A2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3F1B70D" w14:textId="1156D2CA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260" w:type="dxa"/>
            <w:vAlign w:val="center"/>
          </w:tcPr>
          <w:p w14:paraId="4B08473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B78655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BBE6D95" w14:textId="1999C7D3" w:rsidR="00F92346" w:rsidRPr="00EE2A80" w:rsidRDefault="002E14C4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 xml:space="preserve"> rotacijskih luči na strehi vozila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260" w:type="dxa"/>
            <w:vAlign w:val="center"/>
          </w:tcPr>
          <w:p w14:paraId="337EDB8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F917FF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7AE4295" w14:textId="7362D15E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260" w:type="dxa"/>
            <w:vAlign w:val="center"/>
          </w:tcPr>
          <w:p w14:paraId="533D3E72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614B04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CF384AF" w14:textId="2A72B2FB" w:rsidR="00F92346" w:rsidRPr="000E4709" w:rsidRDefault="002E14C4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260" w:type="dxa"/>
            <w:vAlign w:val="center"/>
          </w:tcPr>
          <w:p w14:paraId="5536101B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88EFF4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ADFD17" w14:textId="4156B8C9" w:rsidR="00F92346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36FBCFF6" w14:textId="34FE7528" w:rsidR="00B71FB1" w:rsidRDefault="00B71FB1" w:rsidP="002E14C4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Ravno trdo vodoodporno dno.</w:t>
            </w:r>
          </w:p>
          <w:p w14:paraId="2081ECFC" w14:textId="77777777" w:rsidR="00825019" w:rsidRDefault="00B71FB1" w:rsidP="002E14C4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Na levi strani </w:t>
            </w:r>
            <w:r w:rsidR="00825019">
              <w:rPr>
                <w:rFonts w:ascii="Tahoma" w:eastAsia="Calibri" w:hAnsi="Tahoma" w:cs="Tahoma"/>
                <w:bCs/>
                <w:lang w:eastAsia="en-US"/>
              </w:rPr>
              <w:t>sta dve omari.</w:t>
            </w:r>
          </w:p>
          <w:p w14:paraId="246182A5" w14:textId="0D491CFB" w:rsidR="00F92346" w:rsidRDefault="00825019" w:rsidP="002E14C4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Prva je dimenzije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>
              <w:rPr>
                <w:rFonts w:ascii="Tahoma" w:eastAsia="Calibri" w:hAnsi="Tahoma" w:cs="Tahoma"/>
                <w:bCs/>
                <w:lang w:eastAsia="en-US"/>
              </w:rPr>
              <w:t>1000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>
              <w:rPr>
                <w:rFonts w:ascii="Tahoma" w:eastAsia="Calibri" w:hAnsi="Tahoma" w:cs="Tahoma"/>
                <w:bCs/>
                <w:lang w:eastAsia="en-US"/>
              </w:rPr>
              <w:t>600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>
              <w:rPr>
                <w:rFonts w:ascii="Tahoma" w:eastAsia="Calibri" w:hAnsi="Tahoma" w:cs="Tahoma"/>
                <w:bCs/>
                <w:lang w:eastAsia="en-US"/>
              </w:rPr>
              <w:t>250 mm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50)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. Ima tri police, prva je od 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dna </w:t>
            </w:r>
            <w:r>
              <w:rPr>
                <w:rFonts w:ascii="Tahoma" w:eastAsia="Calibri" w:hAnsi="Tahoma" w:cs="Tahoma"/>
                <w:bCs/>
                <w:lang w:eastAsia="en-US"/>
              </w:rPr>
              <w:t>dvignjena 250 mm, druga tudi od prve police 250 mm. Tretja in četrta</w:t>
            </w:r>
            <w:r w:rsidR="00B71FB1">
              <w:rPr>
                <w:rFonts w:ascii="Tahoma" w:eastAsia="Calibri" w:hAnsi="Tahoma" w:cs="Tahoma"/>
                <w:bCs/>
                <w:lang w:eastAsia="en-US"/>
              </w:rPr>
              <w:t xml:space="preserve"> polic</w:t>
            </w:r>
            <w:r>
              <w:rPr>
                <w:rFonts w:ascii="Tahoma" w:eastAsia="Calibri" w:hAnsi="Tahoma" w:cs="Tahoma"/>
                <w:bCs/>
                <w:lang w:eastAsia="en-US"/>
              </w:rPr>
              <w:t>a pa sta visoki po 100 mm. Tretja in četrta polica sta opremljeni s prostorčki za shranjevanje (v vsaki jih je po 6).</w:t>
            </w:r>
          </w:p>
          <w:p w14:paraId="0519EBBF" w14:textId="267757EC" w:rsidR="00825019" w:rsidRPr="002E14C4" w:rsidRDefault="00825019" w:rsidP="002E14C4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Druga omara je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 xml:space="preserve">dimenzij vsaj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1500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1000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300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80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50 mm)</w:t>
            </w:r>
            <w:r w:rsidR="002D4D91" w:rsidRPr="002E14C4">
              <w:rPr>
                <w:rFonts w:ascii="Tahoma" w:eastAsia="Calibri" w:hAnsi="Tahoma" w:cs="Tahoma"/>
                <w:bCs/>
                <w:lang w:eastAsia="en-US"/>
              </w:rPr>
              <w:t xml:space="preserve"> in opremljena s tremi policami.</w:t>
            </w:r>
          </w:p>
          <w:p w14:paraId="0A5C642D" w14:textId="5C0FD8EC" w:rsidR="002D4D91" w:rsidRPr="00825019" w:rsidRDefault="002D4D91" w:rsidP="002E14C4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Zgornja polica naj bo opremljena z osmimi škatlami različnih dimenzij za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>s</w:t>
            </w:r>
            <w:r>
              <w:rPr>
                <w:rFonts w:ascii="Tahoma" w:eastAsia="Calibri" w:hAnsi="Tahoma" w:cs="Tahoma"/>
                <w:bCs/>
                <w:lang w:eastAsia="en-US"/>
              </w:rPr>
              <w:t>hranjevanje.</w:t>
            </w:r>
          </w:p>
        </w:tc>
        <w:tc>
          <w:tcPr>
            <w:tcW w:w="3260" w:type="dxa"/>
            <w:vAlign w:val="center"/>
          </w:tcPr>
          <w:p w14:paraId="157BC706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58DCBF96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F8D45BE" w14:textId="222DBAB4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V ceni najema so vključeni vsi stroški  servisa vozil, registracije, tehnični pregledi in menjave pnevmatik, letna vinjeta</w:t>
            </w:r>
          </w:p>
        </w:tc>
        <w:tc>
          <w:tcPr>
            <w:tcW w:w="3260" w:type="dxa"/>
            <w:vAlign w:val="center"/>
          </w:tcPr>
          <w:p w14:paraId="79B9682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A1DDB36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A363434" w14:textId="1B93A66C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Zahtevani servisni interval je vsaj 40.000 km ali 2 leti.</w:t>
            </w:r>
          </w:p>
        </w:tc>
        <w:tc>
          <w:tcPr>
            <w:tcW w:w="3260" w:type="dxa"/>
            <w:vAlign w:val="center"/>
          </w:tcPr>
          <w:p w14:paraId="0C7D9DDD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3CF5AF9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CA0BEF3" w14:textId="2C391962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Dobava vozila v 10 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koledarskih 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>dneh od podpisa pogodbe</w:t>
            </w:r>
          </w:p>
        </w:tc>
        <w:tc>
          <w:tcPr>
            <w:tcW w:w="3260" w:type="dxa"/>
            <w:vAlign w:val="center"/>
          </w:tcPr>
          <w:p w14:paraId="4DCA453F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4B4FC953" w:rsid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4EEB524A" w14:textId="77777777" w:rsidR="00E81B00" w:rsidRPr="00924BA0" w:rsidRDefault="00E81B00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1CD3AA70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924BA0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8972B7" w:rsidRDefault="00E13933" w:rsidP="00E13933">
      <w:pPr>
        <w:ind w:right="-284"/>
        <w:rPr>
          <w:rFonts w:ascii="Tahoma" w:hAnsi="Tahoma" w:cs="Tahoma"/>
        </w:rPr>
      </w:pPr>
      <w:r w:rsidRPr="008972B7">
        <w:rPr>
          <w:rFonts w:ascii="Tahoma" w:hAnsi="Tahoma" w:cs="Tahoma"/>
        </w:rPr>
        <w:t xml:space="preserve">Obvezna priloga: </w:t>
      </w:r>
    </w:p>
    <w:p w14:paraId="773B97B8" w14:textId="77777777" w:rsidR="00E13933" w:rsidRPr="008972B7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8972B7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8972B7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A0CE1"/>
    <w:multiLevelType w:val="hybridMultilevel"/>
    <w:tmpl w:val="58E60888"/>
    <w:lvl w:ilvl="0" w:tplc="BE52E4A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3"/>
  </w:num>
  <w:num w:numId="11">
    <w:abstractNumId w:val="15"/>
  </w:num>
  <w:num w:numId="12">
    <w:abstractNumId w:val="7"/>
  </w:num>
  <w:num w:numId="13">
    <w:abstractNumId w:val="0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602A0"/>
    <w:rsid w:val="0006061A"/>
    <w:rsid w:val="000735C6"/>
    <w:rsid w:val="000B458D"/>
    <w:rsid w:val="000B7275"/>
    <w:rsid w:val="000B7E8F"/>
    <w:rsid w:val="000C5480"/>
    <w:rsid w:val="000D6471"/>
    <w:rsid w:val="000E4709"/>
    <w:rsid w:val="000E57FF"/>
    <w:rsid w:val="001024FC"/>
    <w:rsid w:val="0011167D"/>
    <w:rsid w:val="00131C4F"/>
    <w:rsid w:val="001371B5"/>
    <w:rsid w:val="001450A9"/>
    <w:rsid w:val="00151F72"/>
    <w:rsid w:val="00164DB4"/>
    <w:rsid w:val="001712F4"/>
    <w:rsid w:val="001775B8"/>
    <w:rsid w:val="0018028E"/>
    <w:rsid w:val="00181552"/>
    <w:rsid w:val="001908D1"/>
    <w:rsid w:val="001A3416"/>
    <w:rsid w:val="001D5D24"/>
    <w:rsid w:val="001F6DA2"/>
    <w:rsid w:val="00215AEB"/>
    <w:rsid w:val="00216ADE"/>
    <w:rsid w:val="002203DA"/>
    <w:rsid w:val="00220A4F"/>
    <w:rsid w:val="0022380F"/>
    <w:rsid w:val="00244B9A"/>
    <w:rsid w:val="0026081C"/>
    <w:rsid w:val="00260AB9"/>
    <w:rsid w:val="00267D1E"/>
    <w:rsid w:val="00273D25"/>
    <w:rsid w:val="0027415C"/>
    <w:rsid w:val="002840EA"/>
    <w:rsid w:val="002934DD"/>
    <w:rsid w:val="002C2B7B"/>
    <w:rsid w:val="002D18AA"/>
    <w:rsid w:val="002D4D91"/>
    <w:rsid w:val="002E14C4"/>
    <w:rsid w:val="002E2251"/>
    <w:rsid w:val="00307917"/>
    <w:rsid w:val="00341859"/>
    <w:rsid w:val="003468DD"/>
    <w:rsid w:val="003506C0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43BCB"/>
    <w:rsid w:val="00472362"/>
    <w:rsid w:val="00474952"/>
    <w:rsid w:val="00474E40"/>
    <w:rsid w:val="00480F53"/>
    <w:rsid w:val="004821F5"/>
    <w:rsid w:val="004823B1"/>
    <w:rsid w:val="00486AD9"/>
    <w:rsid w:val="00496E46"/>
    <w:rsid w:val="0049763F"/>
    <w:rsid w:val="004A1E78"/>
    <w:rsid w:val="004A59CA"/>
    <w:rsid w:val="004B4EA3"/>
    <w:rsid w:val="004E3F06"/>
    <w:rsid w:val="0050206B"/>
    <w:rsid w:val="00514049"/>
    <w:rsid w:val="0053301A"/>
    <w:rsid w:val="0053678B"/>
    <w:rsid w:val="005409F5"/>
    <w:rsid w:val="0055377A"/>
    <w:rsid w:val="005560E0"/>
    <w:rsid w:val="00560499"/>
    <w:rsid w:val="00567D07"/>
    <w:rsid w:val="005817DF"/>
    <w:rsid w:val="0058663E"/>
    <w:rsid w:val="005A6EA8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45C14"/>
    <w:rsid w:val="0065538B"/>
    <w:rsid w:val="0065580F"/>
    <w:rsid w:val="00657921"/>
    <w:rsid w:val="006624D8"/>
    <w:rsid w:val="00691CBA"/>
    <w:rsid w:val="00694544"/>
    <w:rsid w:val="006A07D4"/>
    <w:rsid w:val="006B243E"/>
    <w:rsid w:val="006D35D6"/>
    <w:rsid w:val="006F24B6"/>
    <w:rsid w:val="006F25B5"/>
    <w:rsid w:val="007041C4"/>
    <w:rsid w:val="0071117A"/>
    <w:rsid w:val="0071775F"/>
    <w:rsid w:val="00736B8D"/>
    <w:rsid w:val="007432F4"/>
    <w:rsid w:val="00747DF4"/>
    <w:rsid w:val="007534A6"/>
    <w:rsid w:val="007562B1"/>
    <w:rsid w:val="00767549"/>
    <w:rsid w:val="00790E8F"/>
    <w:rsid w:val="0079241C"/>
    <w:rsid w:val="007978A2"/>
    <w:rsid w:val="007B5D28"/>
    <w:rsid w:val="007C2276"/>
    <w:rsid w:val="007C6E96"/>
    <w:rsid w:val="007D2A36"/>
    <w:rsid w:val="007E438E"/>
    <w:rsid w:val="00810D40"/>
    <w:rsid w:val="00825019"/>
    <w:rsid w:val="00834FB8"/>
    <w:rsid w:val="0085007E"/>
    <w:rsid w:val="00866A96"/>
    <w:rsid w:val="00891066"/>
    <w:rsid w:val="008972B7"/>
    <w:rsid w:val="008B1286"/>
    <w:rsid w:val="008B17CE"/>
    <w:rsid w:val="008D0C31"/>
    <w:rsid w:val="00903222"/>
    <w:rsid w:val="00924BA0"/>
    <w:rsid w:val="00940941"/>
    <w:rsid w:val="00941657"/>
    <w:rsid w:val="00945AC2"/>
    <w:rsid w:val="00953040"/>
    <w:rsid w:val="0096351A"/>
    <w:rsid w:val="00974F2D"/>
    <w:rsid w:val="00980B63"/>
    <w:rsid w:val="009977C5"/>
    <w:rsid w:val="00A049C2"/>
    <w:rsid w:val="00A249A1"/>
    <w:rsid w:val="00A26425"/>
    <w:rsid w:val="00A368B7"/>
    <w:rsid w:val="00A67652"/>
    <w:rsid w:val="00A83A08"/>
    <w:rsid w:val="00A8513D"/>
    <w:rsid w:val="00AB178B"/>
    <w:rsid w:val="00AE4676"/>
    <w:rsid w:val="00B0029E"/>
    <w:rsid w:val="00B30C0D"/>
    <w:rsid w:val="00B36354"/>
    <w:rsid w:val="00B516D5"/>
    <w:rsid w:val="00B551D6"/>
    <w:rsid w:val="00B719F7"/>
    <w:rsid w:val="00B71FB1"/>
    <w:rsid w:val="00B83F63"/>
    <w:rsid w:val="00B92BB9"/>
    <w:rsid w:val="00BB5196"/>
    <w:rsid w:val="00BC03BF"/>
    <w:rsid w:val="00BD4A1F"/>
    <w:rsid w:val="00BF09F0"/>
    <w:rsid w:val="00BF2915"/>
    <w:rsid w:val="00BF352E"/>
    <w:rsid w:val="00BF6EB2"/>
    <w:rsid w:val="00C0657E"/>
    <w:rsid w:val="00C50223"/>
    <w:rsid w:val="00C57C28"/>
    <w:rsid w:val="00C7488B"/>
    <w:rsid w:val="00C8507A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73992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35EB"/>
    <w:rsid w:val="00E53A63"/>
    <w:rsid w:val="00E6758E"/>
    <w:rsid w:val="00E81B00"/>
    <w:rsid w:val="00E81DC1"/>
    <w:rsid w:val="00E84759"/>
    <w:rsid w:val="00E92864"/>
    <w:rsid w:val="00E959CC"/>
    <w:rsid w:val="00E95EA4"/>
    <w:rsid w:val="00E97ED8"/>
    <w:rsid w:val="00EA266F"/>
    <w:rsid w:val="00EC2074"/>
    <w:rsid w:val="00EC2138"/>
    <w:rsid w:val="00EE2A80"/>
    <w:rsid w:val="00F07058"/>
    <w:rsid w:val="00F10600"/>
    <w:rsid w:val="00F22945"/>
    <w:rsid w:val="00F261ED"/>
    <w:rsid w:val="00F4477D"/>
    <w:rsid w:val="00F562E9"/>
    <w:rsid w:val="00F743F6"/>
    <w:rsid w:val="00F75AFC"/>
    <w:rsid w:val="00F92346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Tina Bregar</cp:lastModifiedBy>
  <cp:revision>3</cp:revision>
  <cp:lastPrinted>2013-03-22T11:25:00Z</cp:lastPrinted>
  <dcterms:created xsi:type="dcterms:W3CDTF">2025-06-11T06:04:00Z</dcterms:created>
  <dcterms:modified xsi:type="dcterms:W3CDTF">2025-06-11T06:04:00Z</dcterms:modified>
</cp:coreProperties>
</file>